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33031" w14:textId="77777777" w:rsidR="003C6E25" w:rsidRDefault="003C6E25" w:rsidP="003C6E25">
      <w:pPr>
        <w:pStyle w:val="HeadingThree"/>
      </w:pPr>
      <w:bookmarkStart w:id="0" w:name="_Toc199259752"/>
      <w:r>
        <w:t>Batteries</w:t>
      </w:r>
      <w:bookmarkEnd w:id="0"/>
    </w:p>
    <w:p w14:paraId="397C9175" w14:textId="77777777" w:rsidR="003C6E25" w:rsidRDefault="003C6E25" w:rsidP="003C6E25">
      <w:r>
        <w:t>Proposals are invited against the following topic(s):</w:t>
      </w:r>
    </w:p>
    <w:p w14:paraId="7AE4FE2E" w14:textId="77777777" w:rsidR="003C6E25" w:rsidRDefault="003C6E25" w:rsidP="003C6E25">
      <w:pPr>
        <w:pStyle w:val="HeadingThree"/>
      </w:pPr>
      <w:bookmarkStart w:id="1" w:name="_Toc199259753"/>
      <w:r>
        <w:t>HORIZON-CL5-2026-03-D2-01: Producing battery-grade materials for electrodes through sustainable processing and refining of raw materials or developing bio-based materials (BATT4EU Partnership)</w:t>
      </w:r>
      <w:bookmarkEnd w:id="1"/>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073"/>
        <w:gridCol w:w="7011"/>
      </w:tblGrid>
      <w:tr w:rsidR="003C6E25" w14:paraId="75ACD814" w14:textId="77777777" w:rsidTr="00814500">
        <w:tc>
          <w:tcPr>
            <w:tcW w:w="0" w:type="auto"/>
            <w:gridSpan w:val="2"/>
          </w:tcPr>
          <w:p w14:paraId="3DF83242" w14:textId="77777777" w:rsidR="003C6E25" w:rsidRDefault="003C6E25" w:rsidP="004B43A9">
            <w:pPr>
              <w:pStyle w:val="CellTextValue"/>
            </w:pPr>
            <w:r>
              <w:rPr>
                <w:b/>
              </w:rPr>
              <w:t>Call: Cluster 5 Call 03-2026 (WP2026-2027)</w:t>
            </w:r>
          </w:p>
        </w:tc>
      </w:tr>
      <w:tr w:rsidR="003C6E25" w14:paraId="75E7FFEE" w14:textId="77777777" w:rsidTr="00427782">
        <w:tc>
          <w:tcPr>
            <w:tcW w:w="0" w:type="auto"/>
            <w:gridSpan w:val="2"/>
          </w:tcPr>
          <w:p w14:paraId="02EA69C3" w14:textId="77777777" w:rsidR="003C6E25" w:rsidRDefault="003C6E25" w:rsidP="004B43A9">
            <w:pPr>
              <w:pStyle w:val="CellTextValue"/>
            </w:pPr>
            <w:r>
              <w:rPr>
                <w:b/>
              </w:rPr>
              <w:t>Specific conditions</w:t>
            </w:r>
          </w:p>
        </w:tc>
      </w:tr>
      <w:tr w:rsidR="003C6E25" w14:paraId="094C8350" w14:textId="77777777">
        <w:tc>
          <w:tcPr>
            <w:tcW w:w="0" w:type="auto"/>
          </w:tcPr>
          <w:p w14:paraId="6052401A" w14:textId="77777777" w:rsidR="003C6E25" w:rsidRDefault="003C6E25" w:rsidP="004B43A9">
            <w:pPr>
              <w:pStyle w:val="CellTextValue"/>
              <w:jc w:val="left"/>
            </w:pPr>
            <w:r>
              <w:rPr>
                <w:i/>
              </w:rPr>
              <w:t>Expected EU contribution per project</w:t>
            </w:r>
          </w:p>
        </w:tc>
        <w:tc>
          <w:tcPr>
            <w:tcW w:w="0" w:type="auto"/>
          </w:tcPr>
          <w:p w14:paraId="4E7212EA" w14:textId="77777777" w:rsidR="003C6E25" w:rsidRDefault="003C6E25" w:rsidP="004B43A9">
            <w:pPr>
              <w:pStyle w:val="CellTextValue"/>
            </w:pPr>
            <w:r>
              <w:t>The Commission estimates that an EU contribution of around EUR 7.50 million would allow these outcomes to be addressed appropriately. Nonetheless, this does not preclude submission and selection of a proposal requesting different amounts.</w:t>
            </w:r>
          </w:p>
        </w:tc>
      </w:tr>
      <w:tr w:rsidR="003C6E25" w14:paraId="375882F9" w14:textId="77777777">
        <w:tc>
          <w:tcPr>
            <w:tcW w:w="0" w:type="auto"/>
          </w:tcPr>
          <w:p w14:paraId="5756418B" w14:textId="77777777" w:rsidR="003C6E25" w:rsidRDefault="003C6E25" w:rsidP="004B43A9">
            <w:pPr>
              <w:pStyle w:val="CellTextValue"/>
              <w:jc w:val="left"/>
            </w:pPr>
            <w:r>
              <w:rPr>
                <w:i/>
              </w:rPr>
              <w:t>Indicative budget</w:t>
            </w:r>
          </w:p>
        </w:tc>
        <w:tc>
          <w:tcPr>
            <w:tcW w:w="0" w:type="auto"/>
          </w:tcPr>
          <w:p w14:paraId="231D5527" w14:textId="77777777" w:rsidR="003C6E25" w:rsidRDefault="003C6E25" w:rsidP="004B43A9">
            <w:pPr>
              <w:pStyle w:val="CellTextValue"/>
            </w:pPr>
            <w:r>
              <w:t>The total indicative budget for the topic is EUR 30.00 million.</w:t>
            </w:r>
          </w:p>
        </w:tc>
      </w:tr>
      <w:tr w:rsidR="003C6E25" w14:paraId="1E9C9F40" w14:textId="77777777">
        <w:tc>
          <w:tcPr>
            <w:tcW w:w="0" w:type="auto"/>
          </w:tcPr>
          <w:p w14:paraId="59A56113" w14:textId="77777777" w:rsidR="003C6E25" w:rsidRDefault="003C6E25" w:rsidP="004B43A9">
            <w:pPr>
              <w:pStyle w:val="CellTextValue"/>
              <w:jc w:val="left"/>
            </w:pPr>
            <w:r>
              <w:rPr>
                <w:i/>
              </w:rPr>
              <w:t>Type of Action</w:t>
            </w:r>
          </w:p>
        </w:tc>
        <w:tc>
          <w:tcPr>
            <w:tcW w:w="0" w:type="auto"/>
          </w:tcPr>
          <w:p w14:paraId="3889EED8" w14:textId="77777777" w:rsidR="003C6E25" w:rsidRDefault="003C6E25" w:rsidP="004B43A9">
            <w:pPr>
              <w:pStyle w:val="CellTextValue"/>
            </w:pPr>
            <w:r>
              <w:rPr>
                <w:color w:val="000000"/>
              </w:rPr>
              <w:t>Research and Innovation Actions</w:t>
            </w:r>
          </w:p>
        </w:tc>
      </w:tr>
      <w:tr w:rsidR="003C6E25" w14:paraId="4D774D06" w14:textId="77777777">
        <w:tc>
          <w:tcPr>
            <w:tcW w:w="0" w:type="auto"/>
          </w:tcPr>
          <w:p w14:paraId="7996185D" w14:textId="77777777" w:rsidR="003C6E25" w:rsidRDefault="003C6E25" w:rsidP="004B43A9">
            <w:pPr>
              <w:pStyle w:val="CellTextValue"/>
              <w:jc w:val="left"/>
            </w:pPr>
            <w:r>
              <w:rPr>
                <w:i/>
              </w:rPr>
              <w:t>Eligibility conditions</w:t>
            </w:r>
          </w:p>
        </w:tc>
        <w:tc>
          <w:tcPr>
            <w:tcW w:w="0" w:type="auto"/>
          </w:tcPr>
          <w:p w14:paraId="0E3197E2" w14:textId="77777777" w:rsidR="003C6E25" w:rsidRDefault="003C6E25" w:rsidP="004B43A9">
            <w:pPr>
              <w:pStyle w:val="CellTextValue"/>
            </w:pPr>
            <w:r>
              <w:rPr>
                <w:color w:val="000000"/>
              </w:rPr>
              <w:t>The conditions are described in General Annex B. The following exceptions apply:</w:t>
            </w:r>
          </w:p>
          <w:p w14:paraId="1F9C6264" w14:textId="77777777" w:rsidR="003C6E25" w:rsidRDefault="003C6E25" w:rsidP="004B43A9">
            <w:pPr>
              <w:pStyle w:val="CellTextValue"/>
            </w:pPr>
            <w:r>
              <w:rPr>
                <w:color w:val="000000"/>
              </w:rPr>
              <w:t>If projects use satellite-based earth observation, positioning, navigation and/or related timing data and services, beneficiaries must make use of Copernicus and/or Galileo/EGNOS (other data and services may additionally be used).</w:t>
            </w:r>
          </w:p>
        </w:tc>
      </w:tr>
      <w:tr w:rsidR="003C6E25" w14:paraId="15C61558" w14:textId="77777777">
        <w:tc>
          <w:tcPr>
            <w:tcW w:w="0" w:type="auto"/>
          </w:tcPr>
          <w:p w14:paraId="74D2CFF2" w14:textId="77777777" w:rsidR="003C6E25" w:rsidRDefault="003C6E25" w:rsidP="004B43A9">
            <w:pPr>
              <w:pStyle w:val="CellTextValue"/>
              <w:jc w:val="left"/>
            </w:pPr>
            <w:r>
              <w:rPr>
                <w:i/>
              </w:rPr>
              <w:t>Technology Readiness Level</w:t>
            </w:r>
          </w:p>
        </w:tc>
        <w:tc>
          <w:tcPr>
            <w:tcW w:w="0" w:type="auto"/>
          </w:tcPr>
          <w:p w14:paraId="56805EEA" w14:textId="77777777" w:rsidR="003C6E25" w:rsidRDefault="003C6E25" w:rsidP="004B43A9">
            <w:pPr>
              <w:pStyle w:val="CellTextValue"/>
            </w:pPr>
            <w:r>
              <w:rPr>
                <w:color w:val="000000"/>
              </w:rPr>
              <w:t>Activities are expected to achieve TRL 4-5 by the end of the project – see General Annex B. Activities may start at any TRL.</w:t>
            </w:r>
          </w:p>
        </w:tc>
      </w:tr>
      <w:tr w:rsidR="003C6E25" w14:paraId="0524B8DF" w14:textId="77777777">
        <w:tc>
          <w:tcPr>
            <w:tcW w:w="0" w:type="auto"/>
          </w:tcPr>
          <w:p w14:paraId="6B2D9EBE" w14:textId="77777777" w:rsidR="003C6E25" w:rsidRDefault="003C6E25" w:rsidP="004B43A9">
            <w:pPr>
              <w:pStyle w:val="CellTextValue"/>
              <w:jc w:val="left"/>
            </w:pPr>
            <w:r>
              <w:rPr>
                <w:i/>
              </w:rPr>
              <w:t>Legal and financial set-up of the Grant Agreements</w:t>
            </w:r>
          </w:p>
        </w:tc>
        <w:tc>
          <w:tcPr>
            <w:tcW w:w="0" w:type="auto"/>
          </w:tcPr>
          <w:p w14:paraId="502FCDB1" w14:textId="77777777" w:rsidR="003C6E25" w:rsidRDefault="003C6E25" w:rsidP="004B43A9">
            <w:pPr>
              <w:pStyle w:val="CellTextValue"/>
            </w:pPr>
            <w:r>
              <w:rPr>
                <w:color w:val="000000"/>
              </w:rPr>
              <w:t>The rules are described in General Annex G. The following exceptions apply:</w:t>
            </w:r>
          </w:p>
          <w:p w14:paraId="54F2E414" w14:textId="77777777" w:rsidR="003C6E25" w:rsidRDefault="003C6E25" w:rsidP="004B43A9">
            <w:pPr>
              <w:pStyle w:val="CellTextValue"/>
            </w:pPr>
            <w:r>
              <w:rPr>
                <w:color w:val="000000"/>
              </w:rPr>
              <w:t xml:space="preserve">Eligible costs will take the form of a lump sum as defined in the Decision of 7 July 2021 authorising the use of lump sum contributions under the Horizon Europe Programme – the Framework Programme for Research and Innovation (2021-2027) – and in actions under the Research and Training Programme of the European Atomic Energy Community (2021-2025) </w:t>
            </w:r>
            <w:r>
              <w:rPr>
                <w:vertAlign w:val="superscript"/>
              </w:rPr>
              <w:footnoteReference w:id="1"/>
            </w:r>
            <w:r>
              <w:rPr>
                <w:color w:val="000000"/>
              </w:rPr>
              <w:t>.</w:t>
            </w:r>
          </w:p>
        </w:tc>
      </w:tr>
    </w:tbl>
    <w:p w14:paraId="6CD5022D" w14:textId="77777777" w:rsidR="003C6E25" w:rsidRDefault="003C6E25" w:rsidP="003C6E25">
      <w:pPr>
        <w:spacing w:after="0" w:line="150" w:lineRule="auto"/>
      </w:pPr>
    </w:p>
    <w:p w14:paraId="42C156E8" w14:textId="77777777" w:rsidR="003C6E25" w:rsidRDefault="003C6E25" w:rsidP="003C6E25">
      <w:r>
        <w:rPr>
          <w:u w:val="single"/>
        </w:rPr>
        <w:lastRenderedPageBreak/>
        <w:t>Expected Outcome</w:t>
      </w:r>
      <w:r>
        <w:t xml:space="preserve">: </w:t>
      </w:r>
      <w:r>
        <w:rPr>
          <w:color w:val="000000"/>
        </w:rPr>
        <w:t>Proposals are expected to contribute to all following points:</w:t>
      </w:r>
    </w:p>
    <w:p w14:paraId="0E2FE51D" w14:textId="77777777" w:rsidR="003C6E25" w:rsidRDefault="003C6E25" w:rsidP="003C6E25">
      <w:pPr>
        <w:pStyle w:val="ListParagraph"/>
        <w:numPr>
          <w:ilvl w:val="0"/>
          <w:numId w:val="3"/>
        </w:numPr>
        <w:contextualSpacing w:val="0"/>
      </w:pPr>
      <w:r>
        <w:rPr>
          <w:color w:val="000000"/>
        </w:rPr>
        <w:t>Significantly reduced EU dependency on imported battery-grade raw materials, specifically emerging technologies and carbon-based electrode materials.</w:t>
      </w:r>
    </w:p>
    <w:p w14:paraId="5E75536A" w14:textId="77777777" w:rsidR="003C6E25" w:rsidRDefault="003C6E25" w:rsidP="003C6E25">
      <w:pPr>
        <w:pStyle w:val="ListParagraph"/>
        <w:numPr>
          <w:ilvl w:val="0"/>
          <w:numId w:val="3"/>
        </w:numPr>
        <w:contextualSpacing w:val="0"/>
      </w:pPr>
      <w:r>
        <w:rPr>
          <w:color w:val="000000"/>
        </w:rPr>
        <w:t xml:space="preserve">Established European value chains for next-generation battery materials, enhancing the EU's technological leadership and strategic autonomy.  </w:t>
      </w:r>
    </w:p>
    <w:p w14:paraId="560DE718" w14:textId="77777777" w:rsidR="003C6E25" w:rsidRDefault="003C6E25" w:rsidP="003C6E25">
      <w:r>
        <w:rPr>
          <w:u w:val="single"/>
        </w:rPr>
        <w:t>Scope</w:t>
      </w:r>
      <w:r>
        <w:t xml:space="preserve">: </w:t>
      </w:r>
      <w:r>
        <w:rPr>
          <w:color w:val="000000"/>
        </w:rPr>
        <w:t>Proposals under this topic must address all aspects for one of the following categories:</w:t>
      </w:r>
    </w:p>
    <w:p w14:paraId="6E675889" w14:textId="77777777" w:rsidR="003C6E25" w:rsidRDefault="003C6E25" w:rsidP="003C6E25">
      <w:r>
        <w:rPr>
          <w:color w:val="000000"/>
        </w:rPr>
        <w:t>1. Sustainable Processing and Refining of next generation batteries-grade Material, delivering all of the following:</w:t>
      </w:r>
    </w:p>
    <w:p w14:paraId="0DBC714A" w14:textId="77777777" w:rsidR="003C6E25" w:rsidRDefault="003C6E25" w:rsidP="003C6E25">
      <w:pPr>
        <w:pStyle w:val="ListParagraph"/>
        <w:numPr>
          <w:ilvl w:val="0"/>
          <w:numId w:val="4"/>
        </w:numPr>
        <w:contextualSpacing w:val="0"/>
      </w:pPr>
      <w:r>
        <w:rPr>
          <w:color w:val="000000"/>
        </w:rPr>
        <w:t>Development and validation of innovative, environmentally friendly refining technologies for producing battery-grade metals and materials suitable for next-generation battery chemistries. This covers raw and active materials for the components of sodium-ion batteries or beyond generation 3</w:t>
      </w:r>
      <w:r>
        <w:rPr>
          <w:vertAlign w:val="superscript"/>
        </w:rPr>
        <w:footnoteReference w:id="2"/>
      </w:r>
      <w:r>
        <w:rPr>
          <w:color w:val="000000"/>
        </w:rPr>
        <w:t xml:space="preserve"> lithium-ion batteries</w:t>
      </w:r>
    </w:p>
    <w:p w14:paraId="1152DE8E" w14:textId="77777777" w:rsidR="003C6E25" w:rsidRDefault="003C6E25" w:rsidP="003C6E25">
      <w:pPr>
        <w:pStyle w:val="ListParagraph"/>
        <w:numPr>
          <w:ilvl w:val="0"/>
          <w:numId w:val="4"/>
        </w:numPr>
        <w:contextualSpacing w:val="0"/>
      </w:pPr>
      <w:r>
        <w:rPr>
          <w:color w:val="000000"/>
        </w:rPr>
        <w:t>Development of processes achieving significant reductions in carbon and ecological footprint, energy usage, and chemical inputs.</w:t>
      </w:r>
    </w:p>
    <w:p w14:paraId="3330A9AE" w14:textId="77777777" w:rsidR="003C6E25" w:rsidRDefault="003C6E25" w:rsidP="003C6E25">
      <w:pPr>
        <w:pStyle w:val="ListParagraph"/>
        <w:numPr>
          <w:ilvl w:val="0"/>
          <w:numId w:val="4"/>
        </w:numPr>
        <w:contextualSpacing w:val="0"/>
      </w:pPr>
      <w:r>
        <w:rPr>
          <w:color w:val="000000"/>
        </w:rPr>
        <w:t xml:space="preserve">Validation of economic viability, environmental sustainability, and technological robustness of the proposed refining and processing solutions.  </w:t>
      </w:r>
    </w:p>
    <w:p w14:paraId="6CEA459C" w14:textId="77777777" w:rsidR="003C6E25" w:rsidRDefault="003C6E25" w:rsidP="003C6E25">
      <w:r>
        <w:rPr>
          <w:color w:val="000000"/>
        </w:rPr>
        <w:t>OR:</w:t>
      </w:r>
    </w:p>
    <w:p w14:paraId="727D63DC" w14:textId="77777777" w:rsidR="003C6E25" w:rsidRDefault="003C6E25" w:rsidP="003C6E25">
      <w:r>
        <w:rPr>
          <w:color w:val="000000"/>
        </w:rPr>
        <w:t>2. Utilising Bio-based Raw Materials for Battery Electrode Materials delivering on all of the following:</w:t>
      </w:r>
    </w:p>
    <w:p w14:paraId="4F6CE83B" w14:textId="77777777" w:rsidR="003C6E25" w:rsidRDefault="003C6E25" w:rsidP="003C6E25">
      <w:pPr>
        <w:pStyle w:val="ListParagraph"/>
        <w:numPr>
          <w:ilvl w:val="0"/>
          <w:numId w:val="5"/>
        </w:numPr>
        <w:contextualSpacing w:val="0"/>
      </w:pPr>
      <w:r>
        <w:rPr>
          <w:color w:val="000000"/>
        </w:rPr>
        <w:t>Development of synthetic graphite and/or alternative carbonous materials for battery components derived from bio-based European feedstocks (e.g., biomass, agricultural residues, lignocellulosic materials). Inactive components such as binders may also be included.</w:t>
      </w:r>
    </w:p>
    <w:p w14:paraId="2015FC46" w14:textId="77777777" w:rsidR="003C6E25" w:rsidRDefault="003C6E25" w:rsidP="003C6E25">
      <w:pPr>
        <w:pStyle w:val="ListParagraph"/>
        <w:numPr>
          <w:ilvl w:val="0"/>
          <w:numId w:val="5"/>
        </w:numPr>
        <w:contextualSpacing w:val="0"/>
      </w:pPr>
      <w:r>
        <w:rPr>
          <w:color w:val="000000"/>
        </w:rPr>
        <w:t>Comprehensive characterization and validation of developed electrode materials in sodium-ion and lithium-ion battery cells, demonstrating comparable or superior performance to conventional graphite electrodes, specifically targeting cycle stability, energy density, and charge/discharge rates.</w:t>
      </w:r>
    </w:p>
    <w:p w14:paraId="067BBEEF" w14:textId="77777777" w:rsidR="003C6E25" w:rsidRDefault="003C6E25" w:rsidP="003C6E25">
      <w:pPr>
        <w:pStyle w:val="ListParagraph"/>
        <w:numPr>
          <w:ilvl w:val="0"/>
          <w:numId w:val="5"/>
        </w:numPr>
        <w:contextualSpacing w:val="0"/>
      </w:pPr>
      <w:r>
        <w:rPr>
          <w:color w:val="000000"/>
        </w:rPr>
        <w:t xml:space="preserve">Demonstration of credible pathways for pilot-scale production pathways for bio-based electrode materials including a clear techno-economic analysis and LCA/LCC impact assessment.  </w:t>
      </w:r>
    </w:p>
    <w:p w14:paraId="54587E76" w14:textId="77777777" w:rsidR="003C6E25" w:rsidRDefault="003C6E25" w:rsidP="003C6E25">
      <w:r>
        <w:rPr>
          <w:color w:val="000000"/>
        </w:rPr>
        <w:lastRenderedPageBreak/>
        <w:t>The Commission initiative for Safe and Sustainable by Design</w:t>
      </w:r>
      <w:r>
        <w:rPr>
          <w:vertAlign w:val="superscript"/>
        </w:rPr>
        <w:footnoteReference w:id="3"/>
      </w:r>
      <w:r>
        <w:rPr>
          <w:color w:val="000000"/>
        </w:rPr>
        <w:t xml:space="preserve"> (</w:t>
      </w:r>
      <w:proofErr w:type="spellStart"/>
      <w:r>
        <w:rPr>
          <w:color w:val="000000"/>
        </w:rPr>
        <w:t>SSbD</w:t>
      </w:r>
      <w:proofErr w:type="spellEnd"/>
      <w:r>
        <w:rPr>
          <w:color w:val="000000"/>
        </w:rPr>
        <w:t>) sets a framework for assessing the safety and sustainability of chemicals and materials which should be considered as a reference for project proposals.</w:t>
      </w:r>
    </w:p>
    <w:p w14:paraId="61F85214" w14:textId="77777777" w:rsidR="003C6E25" w:rsidRDefault="003C6E25" w:rsidP="003C6E25">
      <w:r>
        <w:rPr>
          <w:color w:val="000000"/>
        </w:rPr>
        <w:t>In order to ensure a balanced portfolio of activities covering both categories of materials, grants will be awarded not only in order of ranking but at least also to one proposal dealing with the technology that has not been covered by the proposal selected first, provided they attain all thresholds (and subject to available budget). This condition to ensure a balanced portfolio will also be considered to be met if one project addressing both aspects is funded.</w:t>
      </w:r>
    </w:p>
    <w:p w14:paraId="0E71A19C" w14:textId="77777777" w:rsidR="003C6E25" w:rsidRDefault="003C6E25" w:rsidP="003C6E25">
      <w:r>
        <w:rPr>
          <w:color w:val="000000"/>
        </w:rPr>
        <w:t>This topic implements the co-programmed European Partnership on Batteries (Batt4EU). As such, projects resulting from this topic will be expected to report on the results to the European Partnership on Batteries (Batt4EU) in support of the monitoring of its KPIs.</w:t>
      </w:r>
    </w:p>
    <w:p w14:paraId="38519711" w14:textId="77777777" w:rsidR="003C6E25" w:rsidRDefault="003C6E25" w:rsidP="003C6E25">
      <w:pPr>
        <w:pStyle w:val="HeadingThree"/>
      </w:pPr>
      <w:bookmarkStart w:id="2" w:name="_Toc199259754"/>
      <w:r>
        <w:t>HORIZON-CL5-2026-03-D2-02: Development of direct recycling processes (BATT4EU Partnership)</w:t>
      </w:r>
      <w:bookmarkEnd w:id="2"/>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073"/>
        <w:gridCol w:w="7011"/>
      </w:tblGrid>
      <w:tr w:rsidR="003C6E25" w14:paraId="571D3F12" w14:textId="77777777" w:rsidTr="00427782">
        <w:tc>
          <w:tcPr>
            <w:tcW w:w="0" w:type="auto"/>
            <w:gridSpan w:val="2"/>
          </w:tcPr>
          <w:p w14:paraId="2D1D4643" w14:textId="77777777" w:rsidR="003C6E25" w:rsidRDefault="003C6E25" w:rsidP="004B43A9">
            <w:pPr>
              <w:pStyle w:val="CellTextValue"/>
            </w:pPr>
            <w:r>
              <w:rPr>
                <w:b/>
              </w:rPr>
              <w:t>Call: Cluster 5 Call 03-2026 (WP2026-2027)</w:t>
            </w:r>
          </w:p>
        </w:tc>
      </w:tr>
      <w:tr w:rsidR="003C6E25" w14:paraId="3FB48EDF" w14:textId="77777777" w:rsidTr="00427782">
        <w:tc>
          <w:tcPr>
            <w:tcW w:w="0" w:type="auto"/>
            <w:gridSpan w:val="2"/>
          </w:tcPr>
          <w:p w14:paraId="1809815D" w14:textId="77777777" w:rsidR="003C6E25" w:rsidRDefault="003C6E25" w:rsidP="004B43A9">
            <w:pPr>
              <w:pStyle w:val="CellTextValue"/>
            </w:pPr>
            <w:r>
              <w:rPr>
                <w:b/>
              </w:rPr>
              <w:t>Specific conditions</w:t>
            </w:r>
          </w:p>
        </w:tc>
      </w:tr>
      <w:tr w:rsidR="003C6E25" w14:paraId="77422C72" w14:textId="77777777">
        <w:tc>
          <w:tcPr>
            <w:tcW w:w="0" w:type="auto"/>
          </w:tcPr>
          <w:p w14:paraId="0CD9E2CC" w14:textId="77777777" w:rsidR="003C6E25" w:rsidRDefault="003C6E25" w:rsidP="004B43A9">
            <w:pPr>
              <w:pStyle w:val="CellTextValue"/>
              <w:jc w:val="left"/>
            </w:pPr>
            <w:r>
              <w:rPr>
                <w:i/>
              </w:rPr>
              <w:t>Expected EU contribution per project</w:t>
            </w:r>
          </w:p>
        </w:tc>
        <w:tc>
          <w:tcPr>
            <w:tcW w:w="0" w:type="auto"/>
          </w:tcPr>
          <w:p w14:paraId="1DDE6129" w14:textId="77777777" w:rsidR="003C6E25" w:rsidRDefault="003C6E25" w:rsidP="004B43A9">
            <w:pPr>
              <w:pStyle w:val="CellTextValue"/>
            </w:pPr>
            <w:r>
              <w:t>The Commission estimates that an EU contribution of around EUR 5.00 million would allow these outcomes to be addressed appropriately. Nonetheless, this does not preclude submission and selection of a proposal requesting different amounts.</w:t>
            </w:r>
          </w:p>
        </w:tc>
      </w:tr>
      <w:tr w:rsidR="003C6E25" w14:paraId="544D1CA6" w14:textId="77777777">
        <w:tc>
          <w:tcPr>
            <w:tcW w:w="0" w:type="auto"/>
          </w:tcPr>
          <w:p w14:paraId="40B0075A" w14:textId="77777777" w:rsidR="003C6E25" w:rsidRDefault="003C6E25" w:rsidP="004B43A9">
            <w:pPr>
              <w:pStyle w:val="CellTextValue"/>
              <w:jc w:val="left"/>
            </w:pPr>
            <w:r>
              <w:rPr>
                <w:i/>
              </w:rPr>
              <w:t>Indicative budget</w:t>
            </w:r>
          </w:p>
        </w:tc>
        <w:tc>
          <w:tcPr>
            <w:tcW w:w="0" w:type="auto"/>
          </w:tcPr>
          <w:p w14:paraId="3C16DDF0" w14:textId="77777777" w:rsidR="003C6E25" w:rsidRDefault="003C6E25" w:rsidP="004B43A9">
            <w:pPr>
              <w:pStyle w:val="CellTextValue"/>
            </w:pPr>
            <w:r>
              <w:t>The total indicative budget for the topic is EUR 15.00 million.</w:t>
            </w:r>
          </w:p>
        </w:tc>
      </w:tr>
      <w:tr w:rsidR="003C6E25" w14:paraId="73382CD5" w14:textId="77777777">
        <w:tc>
          <w:tcPr>
            <w:tcW w:w="0" w:type="auto"/>
          </w:tcPr>
          <w:p w14:paraId="2D50EBB1" w14:textId="77777777" w:rsidR="003C6E25" w:rsidRDefault="003C6E25" w:rsidP="004B43A9">
            <w:pPr>
              <w:pStyle w:val="CellTextValue"/>
              <w:jc w:val="left"/>
            </w:pPr>
            <w:r>
              <w:rPr>
                <w:i/>
              </w:rPr>
              <w:t>Type of Action</w:t>
            </w:r>
          </w:p>
        </w:tc>
        <w:tc>
          <w:tcPr>
            <w:tcW w:w="0" w:type="auto"/>
          </w:tcPr>
          <w:p w14:paraId="146EA18C" w14:textId="77777777" w:rsidR="003C6E25" w:rsidRDefault="003C6E25" w:rsidP="004B43A9">
            <w:pPr>
              <w:pStyle w:val="CellTextValue"/>
            </w:pPr>
            <w:r>
              <w:rPr>
                <w:color w:val="000000"/>
              </w:rPr>
              <w:t>Research and Innovation Actions</w:t>
            </w:r>
          </w:p>
        </w:tc>
      </w:tr>
      <w:tr w:rsidR="003C6E25" w14:paraId="4139163B" w14:textId="77777777">
        <w:tc>
          <w:tcPr>
            <w:tcW w:w="0" w:type="auto"/>
          </w:tcPr>
          <w:p w14:paraId="4D1CD154" w14:textId="77777777" w:rsidR="003C6E25" w:rsidRDefault="003C6E25" w:rsidP="004B43A9">
            <w:pPr>
              <w:pStyle w:val="CellTextValue"/>
              <w:jc w:val="left"/>
            </w:pPr>
            <w:r>
              <w:rPr>
                <w:i/>
              </w:rPr>
              <w:t>Eligibility conditions</w:t>
            </w:r>
          </w:p>
        </w:tc>
        <w:tc>
          <w:tcPr>
            <w:tcW w:w="0" w:type="auto"/>
          </w:tcPr>
          <w:p w14:paraId="6597575C" w14:textId="77777777" w:rsidR="003C6E25" w:rsidRDefault="003C6E25" w:rsidP="004B43A9">
            <w:pPr>
              <w:pStyle w:val="CellTextValue"/>
            </w:pPr>
            <w:r>
              <w:rPr>
                <w:color w:val="000000"/>
              </w:rPr>
              <w:t>The conditions are described in General Annex B. The following exceptions apply:</w:t>
            </w:r>
          </w:p>
          <w:p w14:paraId="79FF4813" w14:textId="77777777" w:rsidR="003C6E25" w:rsidRDefault="003C6E25" w:rsidP="004B43A9">
            <w:pPr>
              <w:pStyle w:val="CellTextValue"/>
            </w:pPr>
            <w:r>
              <w:rPr>
                <w:color w:val="000000"/>
              </w:rPr>
              <w:t>If projects use satellite-based earth observation, positioning, navigation and/or related timing data and services, beneficiaries must make use of Copernicus and/or Galileo/EGNOS (other data and services may additionally be used).</w:t>
            </w:r>
          </w:p>
          <w:p w14:paraId="517CF112" w14:textId="77777777" w:rsidR="003C6E25" w:rsidRDefault="003C6E25" w:rsidP="004B43A9">
            <w:pPr>
              <w:pStyle w:val="CellTextValue"/>
            </w:pPr>
            <w:r>
              <w:rPr>
                <w:color w:val="000000"/>
              </w:rPr>
              <w:t>The Joint Research Centre (JRC) may participate as member of the consortium selected for funding.</w:t>
            </w:r>
          </w:p>
        </w:tc>
      </w:tr>
      <w:tr w:rsidR="003C6E25" w14:paraId="248C59FB" w14:textId="77777777">
        <w:tc>
          <w:tcPr>
            <w:tcW w:w="0" w:type="auto"/>
          </w:tcPr>
          <w:p w14:paraId="4616B557" w14:textId="77777777" w:rsidR="003C6E25" w:rsidRDefault="003C6E25" w:rsidP="004B43A9">
            <w:pPr>
              <w:pStyle w:val="CellTextValue"/>
              <w:jc w:val="left"/>
            </w:pPr>
            <w:r>
              <w:rPr>
                <w:i/>
              </w:rPr>
              <w:t>Technology Readiness Level</w:t>
            </w:r>
          </w:p>
        </w:tc>
        <w:tc>
          <w:tcPr>
            <w:tcW w:w="0" w:type="auto"/>
          </w:tcPr>
          <w:p w14:paraId="7037B7A0" w14:textId="77777777" w:rsidR="003C6E25" w:rsidRDefault="003C6E25" w:rsidP="004B43A9">
            <w:pPr>
              <w:pStyle w:val="CellTextValue"/>
            </w:pPr>
            <w:r>
              <w:rPr>
                <w:color w:val="000000"/>
              </w:rPr>
              <w:t>Activities are expected to achieve TRL 5 by the end of the project – see General Annex B. Activities may start at any TRL.</w:t>
            </w:r>
          </w:p>
        </w:tc>
      </w:tr>
      <w:tr w:rsidR="003C6E25" w14:paraId="41FA7300" w14:textId="77777777">
        <w:tc>
          <w:tcPr>
            <w:tcW w:w="0" w:type="auto"/>
          </w:tcPr>
          <w:p w14:paraId="3764B88B" w14:textId="77777777" w:rsidR="003C6E25" w:rsidRDefault="003C6E25" w:rsidP="004B43A9">
            <w:pPr>
              <w:pStyle w:val="CellTextValue"/>
              <w:jc w:val="left"/>
            </w:pPr>
            <w:r>
              <w:rPr>
                <w:i/>
              </w:rPr>
              <w:t xml:space="preserve">Legal and financial set-up of </w:t>
            </w:r>
            <w:r>
              <w:rPr>
                <w:i/>
              </w:rPr>
              <w:lastRenderedPageBreak/>
              <w:t>the Grant Agreements</w:t>
            </w:r>
          </w:p>
        </w:tc>
        <w:tc>
          <w:tcPr>
            <w:tcW w:w="0" w:type="auto"/>
          </w:tcPr>
          <w:p w14:paraId="2E08757A" w14:textId="77777777" w:rsidR="003C6E25" w:rsidRDefault="003C6E25" w:rsidP="004B43A9">
            <w:pPr>
              <w:pStyle w:val="CellTextValue"/>
            </w:pPr>
            <w:r>
              <w:rPr>
                <w:color w:val="000000"/>
              </w:rPr>
              <w:lastRenderedPageBreak/>
              <w:t>The rules are described in General Annex G. The following exceptions apply:</w:t>
            </w:r>
          </w:p>
          <w:p w14:paraId="158FA004" w14:textId="77777777" w:rsidR="003C6E25" w:rsidRDefault="003C6E25" w:rsidP="004B43A9">
            <w:pPr>
              <w:pStyle w:val="CellTextValue"/>
            </w:pPr>
            <w:r>
              <w:rPr>
                <w:color w:val="000000"/>
              </w:rPr>
              <w:lastRenderedPageBreak/>
              <w:t xml:space="preserve">Eligible costs will take the form of a lump sum as defined in the Decision of 7 July 2021 authorising the use of lump sum contributions under the Horizon Europe Programme – the Framework Programme for Research and Innovation (2021-2027) – and in actions under the Research and Training Programme of the European Atomic Energy Community (2021-2025) </w:t>
            </w:r>
            <w:r>
              <w:rPr>
                <w:vertAlign w:val="superscript"/>
              </w:rPr>
              <w:footnoteReference w:id="4"/>
            </w:r>
            <w:r>
              <w:rPr>
                <w:color w:val="000000"/>
              </w:rPr>
              <w:t>.</w:t>
            </w:r>
          </w:p>
        </w:tc>
      </w:tr>
    </w:tbl>
    <w:p w14:paraId="401A8DA8" w14:textId="77777777" w:rsidR="003C6E25" w:rsidRDefault="003C6E25" w:rsidP="003C6E25">
      <w:pPr>
        <w:spacing w:after="0" w:line="150" w:lineRule="auto"/>
      </w:pPr>
    </w:p>
    <w:p w14:paraId="55B94AE2" w14:textId="77777777" w:rsidR="003C6E25" w:rsidRDefault="003C6E25" w:rsidP="003C6E25">
      <w:r>
        <w:rPr>
          <w:u w:val="single"/>
        </w:rPr>
        <w:t>Expected Outcome</w:t>
      </w:r>
      <w:r>
        <w:t xml:space="preserve">: </w:t>
      </w:r>
      <w:r>
        <w:rPr>
          <w:color w:val="000000"/>
        </w:rPr>
        <w:t>Proposals are expected to contribute to all following points:</w:t>
      </w:r>
    </w:p>
    <w:p w14:paraId="407AACAC" w14:textId="77777777" w:rsidR="003C6E25" w:rsidRDefault="003C6E25" w:rsidP="003C6E25">
      <w:pPr>
        <w:pStyle w:val="ListParagraph"/>
        <w:numPr>
          <w:ilvl w:val="0"/>
          <w:numId w:val="6"/>
        </w:numPr>
        <w:contextualSpacing w:val="0"/>
      </w:pPr>
      <w:r>
        <w:rPr>
          <w:color w:val="000000"/>
        </w:rPr>
        <w:t>Significantly improved recycling efficiency for various battery chemistries, including those with low intrinsic metal values (e.g., LFP, LMFP, sodium-ion).</w:t>
      </w:r>
    </w:p>
    <w:p w14:paraId="3D3F23E4" w14:textId="77777777" w:rsidR="003C6E25" w:rsidRDefault="003C6E25" w:rsidP="003C6E25">
      <w:pPr>
        <w:pStyle w:val="ListParagraph"/>
        <w:numPr>
          <w:ilvl w:val="0"/>
          <w:numId w:val="6"/>
        </w:numPr>
        <w:contextualSpacing w:val="0"/>
      </w:pPr>
      <w:r>
        <w:rPr>
          <w:color w:val="000000"/>
        </w:rPr>
        <w:t>Reduced energy consumption of recycling processes compared to conventional recycling methods</w:t>
      </w:r>
    </w:p>
    <w:p w14:paraId="3A50C0C3" w14:textId="77777777" w:rsidR="003C6E25" w:rsidRDefault="003C6E25" w:rsidP="003C6E25">
      <w:pPr>
        <w:pStyle w:val="ListParagraph"/>
        <w:numPr>
          <w:ilvl w:val="0"/>
          <w:numId w:val="6"/>
        </w:numPr>
        <w:contextualSpacing w:val="0"/>
      </w:pPr>
      <w:r>
        <w:rPr>
          <w:color w:val="000000"/>
        </w:rPr>
        <w:t>Substantial decreases in Europe's dependency on raw material imports</w:t>
      </w:r>
    </w:p>
    <w:p w14:paraId="46FFD800" w14:textId="77777777" w:rsidR="003C6E25" w:rsidRDefault="003C6E25" w:rsidP="003C6E25">
      <w:pPr>
        <w:pStyle w:val="ListParagraph"/>
        <w:numPr>
          <w:ilvl w:val="0"/>
          <w:numId w:val="6"/>
        </w:numPr>
        <w:contextualSpacing w:val="0"/>
      </w:pPr>
      <w:r>
        <w:rPr>
          <w:color w:val="000000"/>
        </w:rPr>
        <w:t>Demonstrated economic viability and competitive cost structures for direct recycling technologies, enhancing circular economy practices in European battery cell manufacturing.</w:t>
      </w:r>
    </w:p>
    <w:p w14:paraId="600E45B3" w14:textId="77777777" w:rsidR="003C6E25" w:rsidRDefault="003C6E25" w:rsidP="003C6E25">
      <w:pPr>
        <w:pStyle w:val="ListParagraph"/>
        <w:numPr>
          <w:ilvl w:val="0"/>
          <w:numId w:val="6"/>
        </w:numPr>
        <w:contextualSpacing w:val="0"/>
      </w:pPr>
      <w:r>
        <w:rPr>
          <w:color w:val="000000"/>
        </w:rPr>
        <w:t xml:space="preserve">Scalable and automated recycling processes suitable for handling high volumes of gigafactory production scrap, directly reintegrating recycled materials into battery manufacturing processes.  </w:t>
      </w:r>
    </w:p>
    <w:p w14:paraId="1E94CBBB" w14:textId="77777777" w:rsidR="003C6E25" w:rsidRDefault="003C6E25" w:rsidP="003C6E25">
      <w:r>
        <w:rPr>
          <w:u w:val="single"/>
        </w:rPr>
        <w:t>Scope</w:t>
      </w:r>
      <w:r>
        <w:t xml:space="preserve">: </w:t>
      </w:r>
      <w:r>
        <w:rPr>
          <w:color w:val="000000"/>
        </w:rPr>
        <w:t>Proposals under this topic are expected to focus explicitly on the development, validation, and upscaling of direct recycling technologies targeting next-generation and low-value battery chemistries (notably LFP, LMFP, and sodium-ion), as well as efficiently managing gigafactory production scrap.</w:t>
      </w:r>
    </w:p>
    <w:p w14:paraId="4D588765" w14:textId="77777777" w:rsidR="003C6E25" w:rsidRDefault="003C6E25" w:rsidP="003C6E25">
      <w:r>
        <w:rPr>
          <w:color w:val="000000"/>
        </w:rPr>
        <w:t>Projects are expected to address all the following points:</w:t>
      </w:r>
    </w:p>
    <w:p w14:paraId="584F0BF3" w14:textId="77777777" w:rsidR="003C6E25" w:rsidRDefault="003C6E25" w:rsidP="003C6E25">
      <w:pPr>
        <w:pStyle w:val="ListParagraph"/>
        <w:numPr>
          <w:ilvl w:val="0"/>
          <w:numId w:val="7"/>
        </w:numPr>
        <w:contextualSpacing w:val="0"/>
      </w:pPr>
      <w:r>
        <w:rPr>
          <w:color w:val="000000"/>
        </w:rPr>
        <w:t>Direct recycling processes, validated at relevant environment and capable of selectively recovering high-purity active materials from battery electrodes, minimizing processing steps, and preserving material functionality.</w:t>
      </w:r>
    </w:p>
    <w:p w14:paraId="6B8A5672" w14:textId="77777777" w:rsidR="003C6E25" w:rsidRDefault="003C6E25" w:rsidP="003C6E25">
      <w:pPr>
        <w:pStyle w:val="ListParagraph"/>
        <w:numPr>
          <w:ilvl w:val="0"/>
          <w:numId w:val="7"/>
        </w:numPr>
        <w:contextualSpacing w:val="0"/>
      </w:pPr>
      <w:r>
        <w:rPr>
          <w:color w:val="000000"/>
        </w:rPr>
        <w:t>Specific optimization of recycling routes for economically challenging battery chemistries, achieving recovery efficiencies beyond the state-of-the-art</w:t>
      </w:r>
    </w:p>
    <w:p w14:paraId="35234635" w14:textId="77777777" w:rsidR="003C6E25" w:rsidRDefault="003C6E25" w:rsidP="003C6E25">
      <w:pPr>
        <w:pStyle w:val="ListParagraph"/>
        <w:numPr>
          <w:ilvl w:val="0"/>
          <w:numId w:val="7"/>
        </w:numPr>
        <w:contextualSpacing w:val="0"/>
      </w:pPr>
      <w:r>
        <w:rPr>
          <w:color w:val="000000"/>
        </w:rPr>
        <w:t>Innovative approaches for process automation, including intelligent sorting and robotic handling systems, tailored for gigafactory scrap streams, with demonstrated potential to seamlessly integrate into industrial-scale manufacturing facilities.</w:t>
      </w:r>
    </w:p>
    <w:p w14:paraId="25491D39" w14:textId="77777777" w:rsidR="003C6E25" w:rsidRDefault="003C6E25" w:rsidP="003C6E25">
      <w:pPr>
        <w:pStyle w:val="ListParagraph"/>
        <w:numPr>
          <w:ilvl w:val="0"/>
          <w:numId w:val="7"/>
        </w:numPr>
        <w:contextualSpacing w:val="0"/>
      </w:pPr>
      <w:r>
        <w:rPr>
          <w:color w:val="000000"/>
        </w:rPr>
        <w:lastRenderedPageBreak/>
        <w:t>Formulation of practical design recommendations based on project findings, to facilitate and optimize direct recycling processes through improved cell design.</w:t>
      </w:r>
    </w:p>
    <w:p w14:paraId="00F2CF81" w14:textId="77777777" w:rsidR="003C6E25" w:rsidRDefault="003C6E25" w:rsidP="003C6E25">
      <w:pPr>
        <w:pStyle w:val="ListParagraph"/>
        <w:numPr>
          <w:ilvl w:val="0"/>
          <w:numId w:val="7"/>
        </w:numPr>
        <w:contextualSpacing w:val="0"/>
      </w:pPr>
      <w:r>
        <w:rPr>
          <w:color w:val="000000"/>
        </w:rPr>
        <w:t>Robust techno-economic analyses demonstrating clear competitive advantages over traditional recycling pathways, complemented by comprehensive life-cycle assessments (LCA) highlighting sustainability benefits in terms of energy savings, CO</w:t>
      </w:r>
      <w:r>
        <w:rPr>
          <w:color w:val="000000"/>
          <w:vertAlign w:val="subscript"/>
        </w:rPr>
        <w:t>2</w:t>
      </w:r>
      <w:r>
        <w:rPr>
          <w:color w:val="000000"/>
        </w:rPr>
        <w:t xml:space="preserve"> emission reduction, biodiversity and ecosystems impact, and overall resource efficiency.  </w:t>
      </w:r>
    </w:p>
    <w:p w14:paraId="7E0F3963" w14:textId="77777777" w:rsidR="003C6E25" w:rsidRDefault="003C6E25" w:rsidP="003C6E25">
      <w:r>
        <w:rPr>
          <w:color w:val="000000"/>
        </w:rPr>
        <w:t>The Commission initiative for Safe and Sustainable by Design</w:t>
      </w:r>
      <w:r>
        <w:rPr>
          <w:vertAlign w:val="superscript"/>
        </w:rPr>
        <w:footnoteReference w:id="5"/>
      </w:r>
      <w:r>
        <w:rPr>
          <w:color w:val="000000"/>
        </w:rPr>
        <w:t xml:space="preserve"> (</w:t>
      </w:r>
      <w:proofErr w:type="spellStart"/>
      <w:r>
        <w:rPr>
          <w:color w:val="000000"/>
        </w:rPr>
        <w:t>SSbD</w:t>
      </w:r>
      <w:proofErr w:type="spellEnd"/>
      <w:r>
        <w:rPr>
          <w:color w:val="000000"/>
        </w:rPr>
        <w:t>) sets a framework for assessing the safety and sustainability of chemicals and materials which should be considered as a reference for project proposals.</w:t>
      </w:r>
    </w:p>
    <w:p w14:paraId="29198DA5" w14:textId="77777777" w:rsidR="003C6E25" w:rsidRDefault="003C6E25" w:rsidP="003C6E25">
      <w:r>
        <w:rPr>
          <w:color w:val="000000"/>
        </w:rPr>
        <w:t>Proposals could consider the involvement of the European Commission's Joint Research Centre (JRC)</w:t>
      </w:r>
      <w:r>
        <w:rPr>
          <w:vertAlign w:val="superscript"/>
        </w:rPr>
        <w:footnoteReference w:id="6"/>
      </w:r>
      <w:r>
        <w:rPr>
          <w:color w:val="000000"/>
        </w:rPr>
        <w:t xml:space="preserve"> whose contribution could consist of providing added value regarding various aspects of battery circularity and sustainability. For further information on the JRC’s possible contribution to the projects, please, search for additional publicly available information on the JRC’s website (EU Science Hub) on the NCP portal, or request specific information from the JRC (JRC-NCP-Network@ec.europa.eu)</w:t>
      </w:r>
    </w:p>
    <w:p w14:paraId="545BA990" w14:textId="77777777" w:rsidR="003C6E25" w:rsidRDefault="003C6E25" w:rsidP="003C6E25">
      <w:r>
        <w:rPr>
          <w:color w:val="000000"/>
        </w:rPr>
        <w:t>JRC shall assure that all the other applicants receive the same information on the JRC’s possible contribution to the project (e.g., via the topic-specific FAQs under the Funding and Tenders Portal).</w:t>
      </w:r>
    </w:p>
    <w:p w14:paraId="5B84E31C" w14:textId="77777777" w:rsidR="003C6E25" w:rsidRDefault="003C6E25" w:rsidP="003C6E25">
      <w:r>
        <w:rPr>
          <w:color w:val="000000"/>
        </w:rPr>
        <w:t>This topic implements the co-programmed European Partnership on Batteries (Batt4EU). As such, projects resulting from this topic will be expected to report on the results to the European Partnership on Batteries (Batt4EU) in support of the monitoring of its KPIs.</w:t>
      </w:r>
    </w:p>
    <w:p w14:paraId="1409954C" w14:textId="77777777" w:rsidR="003C6E25" w:rsidRDefault="003C6E25" w:rsidP="003C6E25">
      <w:pPr>
        <w:pStyle w:val="HeadingThree"/>
      </w:pPr>
      <w:bookmarkStart w:id="3" w:name="_Toc199259755"/>
      <w:r>
        <w:t>HORIZON-CL5-2026-05-D2-03: Integrated Production and Product Development for Next-Generation Lithium-based Batteries for Mobility (BATT4EU and Made in Europe Partnerships)</w:t>
      </w:r>
      <w:bookmarkEnd w:id="3"/>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815"/>
        <w:gridCol w:w="6269"/>
      </w:tblGrid>
      <w:tr w:rsidR="003C6E25" w14:paraId="005F8E8E" w14:textId="77777777" w:rsidTr="00427782">
        <w:tc>
          <w:tcPr>
            <w:tcW w:w="0" w:type="auto"/>
            <w:gridSpan w:val="2"/>
          </w:tcPr>
          <w:p w14:paraId="4EB13C35" w14:textId="77777777" w:rsidR="003C6E25" w:rsidRDefault="003C6E25" w:rsidP="004B43A9">
            <w:pPr>
              <w:pStyle w:val="CellTextValue"/>
            </w:pPr>
            <w:r>
              <w:rPr>
                <w:b/>
              </w:rPr>
              <w:t>Call: Cluster 5 Call 05-2026 (WP2026-2027)</w:t>
            </w:r>
          </w:p>
        </w:tc>
      </w:tr>
      <w:tr w:rsidR="003C6E25" w14:paraId="4AFBBF2F" w14:textId="77777777" w:rsidTr="00427782">
        <w:tc>
          <w:tcPr>
            <w:tcW w:w="0" w:type="auto"/>
            <w:gridSpan w:val="2"/>
          </w:tcPr>
          <w:p w14:paraId="6CEC9422" w14:textId="77777777" w:rsidR="003C6E25" w:rsidRDefault="003C6E25" w:rsidP="004B43A9">
            <w:pPr>
              <w:pStyle w:val="CellTextValue"/>
            </w:pPr>
            <w:r>
              <w:rPr>
                <w:b/>
              </w:rPr>
              <w:t>Specific conditions</w:t>
            </w:r>
          </w:p>
        </w:tc>
      </w:tr>
      <w:tr w:rsidR="003C6E25" w14:paraId="18AC7FCA" w14:textId="77777777">
        <w:tc>
          <w:tcPr>
            <w:tcW w:w="0" w:type="auto"/>
          </w:tcPr>
          <w:p w14:paraId="36E2466A" w14:textId="77777777" w:rsidR="003C6E25" w:rsidRDefault="003C6E25" w:rsidP="004B43A9">
            <w:pPr>
              <w:pStyle w:val="CellTextValue"/>
              <w:jc w:val="left"/>
            </w:pPr>
            <w:r>
              <w:rPr>
                <w:i/>
              </w:rPr>
              <w:t>Expected EU contribution per project</w:t>
            </w:r>
          </w:p>
        </w:tc>
        <w:tc>
          <w:tcPr>
            <w:tcW w:w="0" w:type="auto"/>
          </w:tcPr>
          <w:p w14:paraId="21B43045" w14:textId="77777777" w:rsidR="003C6E25" w:rsidRDefault="003C6E25" w:rsidP="004B43A9">
            <w:pPr>
              <w:pStyle w:val="CellTextValue"/>
            </w:pPr>
            <w:r>
              <w:t>The Commission estimates that an EU contribution of around EUR 35.00 million would allow these outcomes to be addressed appropriately. Nonetheless, this does not preclude submission and selection of a proposal requesting different amounts.</w:t>
            </w:r>
          </w:p>
        </w:tc>
      </w:tr>
      <w:tr w:rsidR="003C6E25" w14:paraId="7CB72681" w14:textId="77777777">
        <w:tc>
          <w:tcPr>
            <w:tcW w:w="0" w:type="auto"/>
          </w:tcPr>
          <w:p w14:paraId="2CAF2F1E" w14:textId="77777777" w:rsidR="003C6E25" w:rsidRDefault="003C6E25" w:rsidP="004B43A9">
            <w:pPr>
              <w:pStyle w:val="CellTextValue"/>
              <w:jc w:val="left"/>
            </w:pPr>
            <w:r>
              <w:rPr>
                <w:i/>
              </w:rPr>
              <w:t>Indicative budget</w:t>
            </w:r>
          </w:p>
        </w:tc>
        <w:tc>
          <w:tcPr>
            <w:tcW w:w="0" w:type="auto"/>
          </w:tcPr>
          <w:p w14:paraId="57AF575B" w14:textId="77777777" w:rsidR="003C6E25" w:rsidRDefault="003C6E25" w:rsidP="004B43A9">
            <w:pPr>
              <w:pStyle w:val="CellTextValue"/>
            </w:pPr>
            <w:r>
              <w:t>The total indicative budget for the topic is EUR 105.00 million.</w:t>
            </w:r>
          </w:p>
        </w:tc>
      </w:tr>
      <w:tr w:rsidR="003C6E25" w14:paraId="4E225A80" w14:textId="77777777">
        <w:tc>
          <w:tcPr>
            <w:tcW w:w="0" w:type="auto"/>
          </w:tcPr>
          <w:p w14:paraId="194D2B03" w14:textId="77777777" w:rsidR="003C6E25" w:rsidRDefault="003C6E25" w:rsidP="004B43A9">
            <w:pPr>
              <w:pStyle w:val="CellTextValue"/>
              <w:jc w:val="left"/>
            </w:pPr>
            <w:r>
              <w:rPr>
                <w:i/>
              </w:rPr>
              <w:t>Type of Action</w:t>
            </w:r>
          </w:p>
        </w:tc>
        <w:tc>
          <w:tcPr>
            <w:tcW w:w="0" w:type="auto"/>
          </w:tcPr>
          <w:p w14:paraId="4077C737" w14:textId="77777777" w:rsidR="003C6E25" w:rsidRDefault="003C6E25" w:rsidP="004B43A9">
            <w:pPr>
              <w:pStyle w:val="CellTextValue"/>
            </w:pPr>
            <w:r>
              <w:rPr>
                <w:color w:val="000000"/>
              </w:rPr>
              <w:t>Innovation Actions</w:t>
            </w:r>
          </w:p>
        </w:tc>
      </w:tr>
      <w:tr w:rsidR="003C6E25" w14:paraId="0C28A6CF" w14:textId="77777777">
        <w:tc>
          <w:tcPr>
            <w:tcW w:w="0" w:type="auto"/>
          </w:tcPr>
          <w:p w14:paraId="16F6D252" w14:textId="77777777" w:rsidR="003C6E25" w:rsidRDefault="003C6E25" w:rsidP="004B43A9">
            <w:pPr>
              <w:pStyle w:val="CellTextValue"/>
              <w:jc w:val="left"/>
            </w:pPr>
            <w:r>
              <w:rPr>
                <w:i/>
              </w:rPr>
              <w:lastRenderedPageBreak/>
              <w:t>Eligibility conditions</w:t>
            </w:r>
          </w:p>
        </w:tc>
        <w:tc>
          <w:tcPr>
            <w:tcW w:w="0" w:type="auto"/>
          </w:tcPr>
          <w:p w14:paraId="15EF43E5" w14:textId="77777777" w:rsidR="003C6E25" w:rsidRDefault="003C6E25" w:rsidP="004B43A9">
            <w:pPr>
              <w:pStyle w:val="CellTextValue"/>
            </w:pPr>
            <w:r>
              <w:rPr>
                <w:color w:val="000000"/>
              </w:rPr>
              <w:t>The conditions are described in General Annex B. The following exceptions apply:</w:t>
            </w:r>
          </w:p>
          <w:p w14:paraId="170C7333" w14:textId="77777777" w:rsidR="003C6E25" w:rsidRDefault="003C6E25" w:rsidP="004B43A9">
            <w:pPr>
              <w:pStyle w:val="CellTextValue"/>
            </w:pPr>
            <w:r>
              <w:rPr>
                <w:color w:val="000000"/>
              </w:rPr>
              <w:t>If projects use satellite-based earth observation, positioning, navigation and/or related timing data and services, beneficiaries must make use of Copernicus and/or Galileo/EGNOS (other data and services may additionally be used).</w:t>
            </w:r>
          </w:p>
          <w:p w14:paraId="53AC182F" w14:textId="77777777" w:rsidR="003C6E25" w:rsidRDefault="003C6E25" w:rsidP="004B43A9">
            <w:pPr>
              <w:pStyle w:val="CellTextValue"/>
            </w:pPr>
            <w:r>
              <w:rPr>
                <w:color w:val="000000"/>
              </w:rPr>
              <w:t>The Joint Research Centre (JRC) may participate as member of the consortium selected for funding.</w:t>
            </w:r>
          </w:p>
        </w:tc>
      </w:tr>
      <w:tr w:rsidR="003C6E25" w14:paraId="4DC676EF" w14:textId="77777777">
        <w:tc>
          <w:tcPr>
            <w:tcW w:w="0" w:type="auto"/>
          </w:tcPr>
          <w:p w14:paraId="0E93FD9D" w14:textId="77777777" w:rsidR="003C6E25" w:rsidRDefault="003C6E25" w:rsidP="004B43A9">
            <w:pPr>
              <w:pStyle w:val="CellTextValue"/>
              <w:jc w:val="left"/>
            </w:pPr>
            <w:r>
              <w:rPr>
                <w:i/>
              </w:rPr>
              <w:t>Technology Readiness Level</w:t>
            </w:r>
          </w:p>
        </w:tc>
        <w:tc>
          <w:tcPr>
            <w:tcW w:w="0" w:type="auto"/>
          </w:tcPr>
          <w:p w14:paraId="5E751C2B" w14:textId="77777777" w:rsidR="003C6E25" w:rsidRDefault="003C6E25" w:rsidP="004B43A9">
            <w:pPr>
              <w:pStyle w:val="CellTextValue"/>
            </w:pPr>
            <w:r>
              <w:rPr>
                <w:color w:val="000000"/>
              </w:rPr>
              <w:t>Activities are expected to achieve TRL 6-7 by the end of the project – see General Annex B. Activities may start at any TRL.</w:t>
            </w:r>
          </w:p>
        </w:tc>
      </w:tr>
      <w:tr w:rsidR="003C6E25" w14:paraId="04C66C74" w14:textId="77777777">
        <w:tc>
          <w:tcPr>
            <w:tcW w:w="0" w:type="auto"/>
          </w:tcPr>
          <w:p w14:paraId="51CD9C72" w14:textId="77777777" w:rsidR="003C6E25" w:rsidRDefault="003C6E25" w:rsidP="004B43A9">
            <w:pPr>
              <w:pStyle w:val="CellTextValue"/>
              <w:jc w:val="left"/>
            </w:pPr>
            <w:r>
              <w:rPr>
                <w:i/>
              </w:rPr>
              <w:t>Procedure</w:t>
            </w:r>
          </w:p>
        </w:tc>
        <w:tc>
          <w:tcPr>
            <w:tcW w:w="0" w:type="auto"/>
          </w:tcPr>
          <w:p w14:paraId="57F79149" w14:textId="77777777" w:rsidR="003C6E25" w:rsidRDefault="003C6E25" w:rsidP="004B43A9">
            <w:pPr>
              <w:pStyle w:val="CellTextValue"/>
            </w:pPr>
            <w:r>
              <w:rPr>
                <w:color w:val="000000"/>
              </w:rPr>
              <w:t>The procedure is described in General Annex F. The following exceptions apply:</w:t>
            </w:r>
          </w:p>
          <w:p w14:paraId="4F8D8F7C" w14:textId="77777777" w:rsidR="003C6E25" w:rsidRDefault="003C6E25" w:rsidP="004B43A9">
            <w:pPr>
              <w:pStyle w:val="CellTextValue"/>
            </w:pPr>
            <w:r>
              <w:rPr>
                <w:color w:val="000000"/>
              </w:rPr>
              <w:t>To ensure a balanced portfolio covering, grants will be awarded to proposals according to the ranking list. However, in order to ensure a targeted portfolio of supported actions, at least the one highest-ranked proposal for the automotive sector and at least the one highest-ranked proposal for the aviation sector will be funded provided that it attains all thresholds.</w:t>
            </w:r>
          </w:p>
        </w:tc>
      </w:tr>
      <w:tr w:rsidR="003C6E25" w14:paraId="0DA7A9A1" w14:textId="77777777">
        <w:tc>
          <w:tcPr>
            <w:tcW w:w="0" w:type="auto"/>
          </w:tcPr>
          <w:p w14:paraId="4B3B60E7" w14:textId="77777777" w:rsidR="003C6E25" w:rsidRDefault="003C6E25" w:rsidP="004B43A9">
            <w:pPr>
              <w:pStyle w:val="CellTextValue"/>
              <w:jc w:val="left"/>
            </w:pPr>
            <w:r>
              <w:rPr>
                <w:i/>
              </w:rPr>
              <w:t>Exceptional page limits to proposals/applications</w:t>
            </w:r>
          </w:p>
        </w:tc>
        <w:tc>
          <w:tcPr>
            <w:tcW w:w="0" w:type="auto"/>
          </w:tcPr>
          <w:p w14:paraId="400151B0" w14:textId="77777777" w:rsidR="003C6E25" w:rsidRDefault="003C6E25" w:rsidP="004B43A9">
            <w:pPr>
              <w:pStyle w:val="CellTextValue"/>
            </w:pPr>
            <w:r>
              <w:rPr>
                <w:color w:val="000000"/>
              </w:rPr>
              <w:t>Due to the complexity of the topic, the page limit for proposals is increased to 60 pages.</w:t>
            </w:r>
          </w:p>
        </w:tc>
      </w:tr>
    </w:tbl>
    <w:p w14:paraId="74232D0C" w14:textId="77777777" w:rsidR="003C6E25" w:rsidRDefault="003C6E25" w:rsidP="003C6E25">
      <w:pPr>
        <w:spacing w:after="0" w:line="150" w:lineRule="auto"/>
      </w:pPr>
    </w:p>
    <w:p w14:paraId="048421F8" w14:textId="77777777" w:rsidR="003C6E25" w:rsidRDefault="003C6E25" w:rsidP="003C6E25">
      <w:r>
        <w:rPr>
          <w:u w:val="single"/>
        </w:rPr>
        <w:t>Expected Outcome</w:t>
      </w:r>
      <w:r>
        <w:t xml:space="preserve">: </w:t>
      </w:r>
      <w:r>
        <w:rPr>
          <w:color w:val="000000"/>
        </w:rPr>
        <w:t>Proposals are expected to contribute to all following points:</w:t>
      </w:r>
    </w:p>
    <w:p w14:paraId="5C17DD44" w14:textId="77777777" w:rsidR="003C6E25" w:rsidRDefault="003C6E25" w:rsidP="003C6E25">
      <w:pPr>
        <w:pStyle w:val="ListParagraph"/>
        <w:numPr>
          <w:ilvl w:val="0"/>
          <w:numId w:val="8"/>
        </w:numPr>
        <w:contextualSpacing w:val="0"/>
      </w:pPr>
      <w:r>
        <w:rPr>
          <w:color w:val="000000"/>
        </w:rPr>
        <w:t>The projects must fulfil the performance targets, at the cell and system level, corresponding to the specific targeted application, to be specified in the proposal. Appropriate KPI must be defined for the energy density (volumetric and gravimetric), Power density and C-rate, number of cycles and cost defined under operational conditions.</w:t>
      </w:r>
    </w:p>
    <w:p w14:paraId="1A90600F" w14:textId="77777777" w:rsidR="003C6E25" w:rsidRDefault="003C6E25" w:rsidP="003C6E25">
      <w:pPr>
        <w:pStyle w:val="ListParagraph"/>
        <w:numPr>
          <w:ilvl w:val="0"/>
          <w:numId w:val="8"/>
        </w:numPr>
        <w:contextualSpacing w:val="0"/>
      </w:pPr>
      <w:r>
        <w:rPr>
          <w:color w:val="000000"/>
        </w:rPr>
        <w:t>Boost EU competitiveness in next-generation battery technologies for mobility applications.</w:t>
      </w:r>
    </w:p>
    <w:p w14:paraId="2FC1D792" w14:textId="77777777" w:rsidR="003C6E25" w:rsidRDefault="003C6E25" w:rsidP="003C6E25">
      <w:pPr>
        <w:pStyle w:val="ListParagraph"/>
        <w:numPr>
          <w:ilvl w:val="0"/>
          <w:numId w:val="8"/>
        </w:numPr>
        <w:contextualSpacing w:val="0"/>
      </w:pPr>
      <w:r>
        <w:rPr>
          <w:color w:val="000000"/>
        </w:rPr>
        <w:t>Develop pilot manufacturing capability for next generation lithium-based batteries.</w:t>
      </w:r>
    </w:p>
    <w:p w14:paraId="3A77D7C1" w14:textId="77777777" w:rsidR="003C6E25" w:rsidRDefault="003C6E25" w:rsidP="003C6E25">
      <w:pPr>
        <w:pStyle w:val="ListParagraph"/>
        <w:numPr>
          <w:ilvl w:val="0"/>
          <w:numId w:val="8"/>
        </w:numPr>
        <w:contextualSpacing w:val="0"/>
      </w:pPr>
      <w:r>
        <w:rPr>
          <w:color w:val="000000"/>
        </w:rPr>
        <w:t>Strengthen the EU battery value chain, including new manufacturing equipment, automation, and scalable production processes.</w:t>
      </w:r>
    </w:p>
    <w:p w14:paraId="229CC72E" w14:textId="77777777" w:rsidR="003C6E25" w:rsidRDefault="003C6E25" w:rsidP="003C6E25">
      <w:pPr>
        <w:pStyle w:val="ListParagraph"/>
        <w:numPr>
          <w:ilvl w:val="0"/>
          <w:numId w:val="8"/>
        </w:numPr>
        <w:contextualSpacing w:val="0"/>
      </w:pPr>
      <w:r>
        <w:rPr>
          <w:color w:val="000000"/>
        </w:rPr>
        <w:t xml:space="preserve">Advance the understanding of next-generation battery interfaces at an industrial scale, ensuring manufacturability, durability, and cost-effectiveness. </w:t>
      </w:r>
    </w:p>
    <w:p w14:paraId="7391EECC" w14:textId="77777777" w:rsidR="003C6E25" w:rsidRDefault="003C6E25" w:rsidP="003C6E25">
      <w:pPr>
        <w:pStyle w:val="ListParagraph"/>
        <w:numPr>
          <w:ilvl w:val="0"/>
          <w:numId w:val="8"/>
        </w:numPr>
        <w:contextualSpacing w:val="0"/>
      </w:pPr>
      <w:r>
        <w:rPr>
          <w:color w:val="000000"/>
        </w:rPr>
        <w:t xml:space="preserve">In the case of aviation, the battery requirements should be compatible at minimum with EASA CS.23 (level 4), CS.27 and preferably with CS.25 categories. </w:t>
      </w:r>
    </w:p>
    <w:p w14:paraId="40830610" w14:textId="77777777" w:rsidR="003C6E25" w:rsidRDefault="003C6E25" w:rsidP="003C6E25">
      <w:r>
        <w:rPr>
          <w:u w:val="single"/>
        </w:rPr>
        <w:lastRenderedPageBreak/>
        <w:t>Scope</w:t>
      </w:r>
      <w:r>
        <w:t xml:space="preserve">: </w:t>
      </w:r>
      <w:r>
        <w:rPr>
          <w:color w:val="000000"/>
        </w:rPr>
        <w:t>This topic will support the scaling-up of next generation (i.e., beyond generation 3) lithium-based batteries (e.g., semi and all-solid state, generation5) from cell prototypes (TRL 4-5) to demonstration of scalable production and demonstration of cell integration into module/pack level. The projects will cover pilot production, process automation, system integration and demonstration, advanced cell design, and supply chain development to ensure that Europe remains at the forefront of battery innovation.</w:t>
      </w:r>
    </w:p>
    <w:p w14:paraId="7D8C7AB0" w14:textId="77777777" w:rsidR="003C6E25" w:rsidRDefault="003C6E25" w:rsidP="003C6E25">
      <w:r>
        <w:rPr>
          <w:color w:val="000000"/>
        </w:rPr>
        <w:t>The projects must address the needs of a single specific and strategically relevant transport mode, and the targeted mode must be clearly indicated in the proposal. The following transport modes are in scope: Automotive; Aviation; Rail; Waterborne.</w:t>
      </w:r>
    </w:p>
    <w:p w14:paraId="114B9AD7" w14:textId="77777777" w:rsidR="003C6E25" w:rsidRDefault="003C6E25" w:rsidP="003C6E25">
      <w:r>
        <w:rPr>
          <w:color w:val="000000"/>
        </w:rPr>
        <w:t>The projects are expected to cover all of the following production targets:</w:t>
      </w:r>
    </w:p>
    <w:p w14:paraId="1C7FE8F9" w14:textId="77777777" w:rsidR="003C6E25" w:rsidRDefault="003C6E25" w:rsidP="003C6E25">
      <w:pPr>
        <w:pStyle w:val="ListParagraph"/>
        <w:numPr>
          <w:ilvl w:val="0"/>
          <w:numId w:val="9"/>
        </w:numPr>
        <w:contextualSpacing w:val="0"/>
      </w:pPr>
      <w:r>
        <w:rPr>
          <w:color w:val="000000"/>
        </w:rPr>
        <w:t xml:space="preserve">Upscaling of components production Technologies:       </w:t>
      </w:r>
    </w:p>
    <w:p w14:paraId="72195B24" w14:textId="77777777" w:rsidR="003C6E25" w:rsidRDefault="003C6E25" w:rsidP="003C6E25">
      <w:pPr>
        <w:pStyle w:val="ListParagraph"/>
        <w:numPr>
          <w:ilvl w:val="1"/>
          <w:numId w:val="9"/>
        </w:numPr>
        <w:contextualSpacing w:val="0"/>
      </w:pPr>
      <w:r>
        <w:rPr>
          <w:color w:val="000000"/>
        </w:rPr>
        <w:t xml:space="preserve">Optimisation and pilot-scale integration methods of anode and cathode materials compatible with next generation electrolytes  </w:t>
      </w:r>
    </w:p>
    <w:p w14:paraId="51CA673E" w14:textId="77777777" w:rsidR="003C6E25" w:rsidRDefault="003C6E25" w:rsidP="003C6E25">
      <w:pPr>
        <w:pStyle w:val="ListParagraph"/>
        <w:numPr>
          <w:ilvl w:val="0"/>
          <w:numId w:val="9"/>
        </w:numPr>
        <w:contextualSpacing w:val="0"/>
      </w:pPr>
      <w:r>
        <w:rPr>
          <w:color w:val="000000"/>
        </w:rPr>
        <w:t xml:space="preserve">Development of Cell Concepts, Manufacturing Equipment and Machinery       </w:t>
      </w:r>
    </w:p>
    <w:p w14:paraId="5CE79667" w14:textId="77777777" w:rsidR="003C6E25" w:rsidRDefault="003C6E25" w:rsidP="003C6E25">
      <w:pPr>
        <w:pStyle w:val="ListParagraph"/>
        <w:numPr>
          <w:ilvl w:val="1"/>
          <w:numId w:val="9"/>
        </w:numPr>
        <w:contextualSpacing w:val="0"/>
      </w:pPr>
      <w:r>
        <w:rPr>
          <w:color w:val="000000"/>
        </w:rPr>
        <w:t xml:space="preserve">Development of flexible and high-throughput processing methods for large-scale cell production (e.g., laser patterning, vacuum sintering, and advanced calendaring).   </w:t>
      </w:r>
    </w:p>
    <w:p w14:paraId="3B81E84D" w14:textId="77777777" w:rsidR="003C6E25" w:rsidRDefault="003C6E25" w:rsidP="003C6E25">
      <w:pPr>
        <w:pStyle w:val="ListParagraph"/>
        <w:numPr>
          <w:ilvl w:val="1"/>
          <w:numId w:val="9"/>
        </w:numPr>
        <w:contextualSpacing w:val="0"/>
      </w:pPr>
      <w:r>
        <w:rPr>
          <w:color w:val="000000"/>
        </w:rPr>
        <w:t xml:space="preserve">Development of next-generation production machinery, tailored for next generation lithium-ion cell manufacturing (e.g., solid electrolyte deposition tools, high-precision stacking machines).  </w:t>
      </w:r>
    </w:p>
    <w:p w14:paraId="01B9A79F" w14:textId="77777777" w:rsidR="003C6E25" w:rsidRDefault="003C6E25" w:rsidP="003C6E25">
      <w:pPr>
        <w:pStyle w:val="ListParagraph"/>
        <w:numPr>
          <w:ilvl w:val="0"/>
          <w:numId w:val="9"/>
        </w:numPr>
        <w:contextualSpacing w:val="0"/>
      </w:pPr>
      <w:r>
        <w:rPr>
          <w:color w:val="000000"/>
        </w:rPr>
        <w:t xml:space="preserve">Design and demonstration of module and packs into vehicles/relevant environment        </w:t>
      </w:r>
    </w:p>
    <w:p w14:paraId="4A60237A" w14:textId="77777777" w:rsidR="003C6E25" w:rsidRDefault="003C6E25" w:rsidP="003C6E25">
      <w:pPr>
        <w:pStyle w:val="ListParagraph"/>
        <w:numPr>
          <w:ilvl w:val="1"/>
          <w:numId w:val="9"/>
        </w:numPr>
        <w:contextualSpacing w:val="0"/>
      </w:pPr>
      <w:r>
        <w:rPr>
          <w:color w:val="000000"/>
        </w:rPr>
        <w:t xml:space="preserve">Develop module/pack design and relevant sensors and Battery Management Systems (BMS), optimised for supporting the system, for seamless cell-to-system integration, regulatory compliance, and specific end-user application requirements.   </w:t>
      </w:r>
    </w:p>
    <w:p w14:paraId="653DD94F" w14:textId="77777777" w:rsidR="003C6E25" w:rsidRDefault="003C6E25" w:rsidP="003C6E25">
      <w:pPr>
        <w:pStyle w:val="ListParagraph"/>
        <w:numPr>
          <w:ilvl w:val="1"/>
          <w:numId w:val="9"/>
        </w:numPr>
        <w:contextualSpacing w:val="0"/>
      </w:pPr>
      <w:r>
        <w:rPr>
          <w:color w:val="000000"/>
        </w:rPr>
        <w:t xml:space="preserve">Perform comprehensive validation, including performance, durability, and safety testing under realistic operational conditions, addressing thermal management, mechanical stress, vibration resistance, and electrical performance at relevant scales.  </w:t>
      </w:r>
    </w:p>
    <w:p w14:paraId="10C6A250" w14:textId="77777777" w:rsidR="003C6E25" w:rsidRDefault="003C6E25" w:rsidP="003C6E25">
      <w:r>
        <w:rPr>
          <w:color w:val="000000"/>
        </w:rPr>
        <w:t>The Commission initiative for Safe and Sustainable by Design</w:t>
      </w:r>
      <w:r>
        <w:rPr>
          <w:vertAlign w:val="superscript"/>
        </w:rPr>
        <w:footnoteReference w:id="7"/>
      </w:r>
      <w:r>
        <w:rPr>
          <w:color w:val="000000"/>
        </w:rPr>
        <w:t xml:space="preserve"> (</w:t>
      </w:r>
      <w:proofErr w:type="spellStart"/>
      <w:r>
        <w:rPr>
          <w:color w:val="000000"/>
        </w:rPr>
        <w:t>SSbD</w:t>
      </w:r>
      <w:proofErr w:type="spellEnd"/>
      <w:r>
        <w:rPr>
          <w:color w:val="000000"/>
        </w:rPr>
        <w:t>) sets a framework for assessing the safety and sustainability of chemicals and materials which should be considered as a reference for project proposals.</w:t>
      </w:r>
    </w:p>
    <w:p w14:paraId="2F4D9F25" w14:textId="77777777" w:rsidR="003C6E25" w:rsidRDefault="003C6E25" w:rsidP="003C6E25">
      <w:r>
        <w:rPr>
          <w:color w:val="000000"/>
        </w:rPr>
        <w:t xml:space="preserve">Whenever the expected exploitation of project results entails developing, creating, manufacturing and marketing a product or process, or in creating and providing a service, the plan for the exploitation and dissemination of results must include a strategy for such exploitation. The exploitation plans are expected to include preliminary plans for scalability, </w:t>
      </w:r>
      <w:r>
        <w:rPr>
          <w:color w:val="000000"/>
        </w:rPr>
        <w:lastRenderedPageBreak/>
        <w:t>commercialisation, and deployment (feasibility study, business plan) indicating the possible funding sources to be potentially used (in particular the Innovation Fund).</w:t>
      </w:r>
    </w:p>
    <w:p w14:paraId="4FDF1E3D" w14:textId="77777777" w:rsidR="003C6E25" w:rsidRDefault="003C6E25" w:rsidP="003C6E25">
      <w:r>
        <w:rPr>
          <w:color w:val="000000"/>
        </w:rPr>
        <w:t>Proposals could consider the involvement of the European Commission's Joint Research Centre (JRC)</w:t>
      </w:r>
      <w:r>
        <w:rPr>
          <w:vertAlign w:val="superscript"/>
        </w:rPr>
        <w:footnoteReference w:id="8"/>
      </w:r>
      <w:r>
        <w:rPr>
          <w:color w:val="000000"/>
        </w:rPr>
        <w:t xml:space="preserve"> whose contribution could consist of performing experimental or desk-top research on battery performance or safety. For further information on the JRC’s possible contribution to the projects, please, search for additional publicly available information on the JRC’s website (EU Science Hub) on the NCP portal, or request specific information from the JRC (JRC-NCP-Network@ec.europa.eu)</w:t>
      </w:r>
    </w:p>
    <w:p w14:paraId="3D97F529" w14:textId="77777777" w:rsidR="003C6E25" w:rsidRDefault="003C6E25" w:rsidP="003C6E25">
      <w:r>
        <w:rPr>
          <w:color w:val="000000"/>
        </w:rPr>
        <w:t>JRC shall assure that all the other applicants receive the same information on the JRC’s possible contribution to the project (e.g., via the topic-specific FAQs under the Funding and Tenders Portal).</w:t>
      </w:r>
    </w:p>
    <w:p w14:paraId="09A4E80F" w14:textId="77777777" w:rsidR="003C6E25" w:rsidRDefault="003C6E25" w:rsidP="003C6E25">
      <w:r>
        <w:rPr>
          <w:color w:val="000000"/>
        </w:rPr>
        <w:t xml:space="preserve">This topic implements the co-programmed European Partnership on Batteries (Batt4EU) and the co-programmed Partnership on Advanced Manufacturing in Europe (Made in Europe). As such, projects resulting from this topic will be expected to report on the results to the European Partnership on Batteries (Batt4EU) and </w:t>
      </w:r>
      <w:proofErr w:type="gramStart"/>
      <w:r>
        <w:rPr>
          <w:color w:val="000000"/>
        </w:rPr>
        <w:t>Made</w:t>
      </w:r>
      <w:proofErr w:type="gramEnd"/>
      <w:r>
        <w:rPr>
          <w:color w:val="000000"/>
        </w:rPr>
        <w:t xml:space="preserve"> in Europe in support of the monitoring of its KPIs.</w:t>
      </w:r>
    </w:p>
    <w:p w14:paraId="166749D7" w14:textId="77777777" w:rsidR="003C6E25" w:rsidRDefault="003C6E25" w:rsidP="003C6E25">
      <w:r>
        <w:rPr>
          <w:color w:val="000000"/>
        </w:rPr>
        <w:t>This topic contributes to the industrial action plan for the automotive sector.</w:t>
      </w:r>
    </w:p>
    <w:p w14:paraId="13886E09" w14:textId="77777777" w:rsidR="003C6E25" w:rsidRDefault="003C6E25" w:rsidP="003C6E25">
      <w:pPr>
        <w:pStyle w:val="HeadingThree"/>
      </w:pPr>
      <w:bookmarkStart w:id="4" w:name="_Toc199259756"/>
      <w:r>
        <w:t>HORIZON-CL5-2026-09-D2-04: Coordinated topic with India on recycling of EV batteries</w:t>
      </w:r>
      <w:bookmarkEnd w:id="4"/>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001"/>
        <w:gridCol w:w="7083"/>
      </w:tblGrid>
      <w:tr w:rsidR="003C6E25" w14:paraId="29E3E295" w14:textId="77777777" w:rsidTr="00427782">
        <w:tc>
          <w:tcPr>
            <w:tcW w:w="0" w:type="auto"/>
            <w:gridSpan w:val="2"/>
          </w:tcPr>
          <w:p w14:paraId="73F21A32" w14:textId="77777777" w:rsidR="003C6E25" w:rsidRDefault="003C6E25" w:rsidP="004B43A9">
            <w:pPr>
              <w:pStyle w:val="CellTextValue"/>
            </w:pPr>
            <w:r>
              <w:rPr>
                <w:b/>
              </w:rPr>
              <w:t>Call: Cluster 5 Call 09-2026 (WP2026-2027)</w:t>
            </w:r>
          </w:p>
        </w:tc>
      </w:tr>
      <w:tr w:rsidR="003C6E25" w14:paraId="6BCA70AA" w14:textId="77777777" w:rsidTr="00427782">
        <w:tc>
          <w:tcPr>
            <w:tcW w:w="0" w:type="auto"/>
            <w:gridSpan w:val="2"/>
          </w:tcPr>
          <w:p w14:paraId="26782FB1" w14:textId="77777777" w:rsidR="003C6E25" w:rsidRDefault="003C6E25" w:rsidP="004B43A9">
            <w:pPr>
              <w:pStyle w:val="CellTextValue"/>
            </w:pPr>
            <w:r>
              <w:rPr>
                <w:b/>
              </w:rPr>
              <w:t>Specific conditions</w:t>
            </w:r>
          </w:p>
        </w:tc>
      </w:tr>
      <w:tr w:rsidR="003C6E25" w14:paraId="44EE247C" w14:textId="77777777">
        <w:tc>
          <w:tcPr>
            <w:tcW w:w="0" w:type="auto"/>
          </w:tcPr>
          <w:p w14:paraId="50512204" w14:textId="77777777" w:rsidR="003C6E25" w:rsidRDefault="003C6E25" w:rsidP="004B43A9">
            <w:pPr>
              <w:pStyle w:val="CellTextValue"/>
              <w:jc w:val="left"/>
            </w:pPr>
            <w:r>
              <w:rPr>
                <w:i/>
              </w:rPr>
              <w:t>Expected EU contribution per project</w:t>
            </w:r>
          </w:p>
        </w:tc>
        <w:tc>
          <w:tcPr>
            <w:tcW w:w="0" w:type="auto"/>
          </w:tcPr>
          <w:p w14:paraId="5392E1D2" w14:textId="77777777" w:rsidR="003C6E25" w:rsidRDefault="003C6E25" w:rsidP="004B43A9">
            <w:pPr>
              <w:pStyle w:val="CellTextValue"/>
            </w:pPr>
            <w:r>
              <w:t>The Commission estimates that an EU contribution of around EUR 10.00 million would allow these outcomes to be addressed appropriately. Nonetheless, this does not preclude submission and selection of a proposal requesting different amounts.</w:t>
            </w:r>
          </w:p>
        </w:tc>
      </w:tr>
      <w:tr w:rsidR="003C6E25" w14:paraId="5ACD992F" w14:textId="77777777">
        <w:tc>
          <w:tcPr>
            <w:tcW w:w="0" w:type="auto"/>
          </w:tcPr>
          <w:p w14:paraId="7EFA71CC" w14:textId="77777777" w:rsidR="003C6E25" w:rsidRDefault="003C6E25" w:rsidP="004B43A9">
            <w:pPr>
              <w:pStyle w:val="CellTextValue"/>
              <w:jc w:val="left"/>
            </w:pPr>
            <w:r>
              <w:rPr>
                <w:i/>
              </w:rPr>
              <w:t>Indicative budget</w:t>
            </w:r>
          </w:p>
        </w:tc>
        <w:tc>
          <w:tcPr>
            <w:tcW w:w="0" w:type="auto"/>
          </w:tcPr>
          <w:p w14:paraId="68ECAD9F" w14:textId="77777777" w:rsidR="003C6E25" w:rsidRDefault="003C6E25" w:rsidP="004B43A9">
            <w:pPr>
              <w:pStyle w:val="CellTextValue"/>
            </w:pPr>
            <w:r>
              <w:t>The total indicative budget for the topic is EUR 10.00 million.</w:t>
            </w:r>
          </w:p>
        </w:tc>
      </w:tr>
      <w:tr w:rsidR="003C6E25" w14:paraId="0834DEE6" w14:textId="77777777">
        <w:tc>
          <w:tcPr>
            <w:tcW w:w="0" w:type="auto"/>
          </w:tcPr>
          <w:p w14:paraId="1C7A738C" w14:textId="77777777" w:rsidR="003C6E25" w:rsidRDefault="003C6E25" w:rsidP="004B43A9">
            <w:pPr>
              <w:pStyle w:val="CellTextValue"/>
              <w:jc w:val="left"/>
            </w:pPr>
            <w:r>
              <w:rPr>
                <w:i/>
              </w:rPr>
              <w:t>Type of Action</w:t>
            </w:r>
          </w:p>
        </w:tc>
        <w:tc>
          <w:tcPr>
            <w:tcW w:w="0" w:type="auto"/>
          </w:tcPr>
          <w:p w14:paraId="20AF82AD" w14:textId="77777777" w:rsidR="003C6E25" w:rsidRDefault="003C6E25" w:rsidP="004B43A9">
            <w:pPr>
              <w:pStyle w:val="CellTextValue"/>
            </w:pPr>
            <w:r>
              <w:rPr>
                <w:color w:val="000000"/>
              </w:rPr>
              <w:t>Innovation Actions</w:t>
            </w:r>
          </w:p>
        </w:tc>
      </w:tr>
      <w:tr w:rsidR="003C6E25" w14:paraId="678B02B5" w14:textId="77777777">
        <w:tc>
          <w:tcPr>
            <w:tcW w:w="0" w:type="auto"/>
          </w:tcPr>
          <w:p w14:paraId="6F57CBEF" w14:textId="77777777" w:rsidR="003C6E25" w:rsidRDefault="003C6E25" w:rsidP="004B43A9">
            <w:pPr>
              <w:pStyle w:val="CellTextValue"/>
              <w:jc w:val="left"/>
            </w:pPr>
            <w:r>
              <w:rPr>
                <w:i/>
              </w:rPr>
              <w:t>Eligibility conditions</w:t>
            </w:r>
          </w:p>
        </w:tc>
        <w:tc>
          <w:tcPr>
            <w:tcW w:w="0" w:type="auto"/>
          </w:tcPr>
          <w:p w14:paraId="16377A60" w14:textId="77777777" w:rsidR="003C6E25" w:rsidRDefault="003C6E25" w:rsidP="004B43A9">
            <w:pPr>
              <w:pStyle w:val="CellTextValue"/>
            </w:pPr>
            <w:r>
              <w:rPr>
                <w:color w:val="000000"/>
              </w:rPr>
              <w:t>The conditions are described in General Annex B. The following exceptions apply:</w:t>
            </w:r>
          </w:p>
          <w:p w14:paraId="695E73BD" w14:textId="77777777" w:rsidR="003C6E25" w:rsidRDefault="003C6E25" w:rsidP="004B43A9">
            <w:pPr>
              <w:pStyle w:val="CellTextValue"/>
            </w:pPr>
            <w:r>
              <w:rPr>
                <w:color w:val="000000"/>
              </w:rPr>
              <w:t>If projects use satellite-based earth observation, positioning, navigation and/or related timing data and services, beneficiaries must make use of Copernicus and/or Galileo/EGNOS (other data and services may additionally be used).</w:t>
            </w:r>
          </w:p>
        </w:tc>
      </w:tr>
      <w:tr w:rsidR="003C6E25" w14:paraId="3A239643" w14:textId="77777777">
        <w:tc>
          <w:tcPr>
            <w:tcW w:w="0" w:type="auto"/>
          </w:tcPr>
          <w:p w14:paraId="5AF3CCEB" w14:textId="77777777" w:rsidR="003C6E25" w:rsidRDefault="003C6E25" w:rsidP="004B43A9">
            <w:pPr>
              <w:pStyle w:val="CellTextValue"/>
              <w:jc w:val="left"/>
            </w:pPr>
            <w:r>
              <w:rPr>
                <w:i/>
              </w:rPr>
              <w:lastRenderedPageBreak/>
              <w:t>Technology Readiness Level</w:t>
            </w:r>
          </w:p>
        </w:tc>
        <w:tc>
          <w:tcPr>
            <w:tcW w:w="0" w:type="auto"/>
          </w:tcPr>
          <w:p w14:paraId="5609342D" w14:textId="77777777" w:rsidR="003C6E25" w:rsidRDefault="003C6E25" w:rsidP="004B43A9">
            <w:pPr>
              <w:pStyle w:val="CellTextValue"/>
            </w:pPr>
            <w:r>
              <w:rPr>
                <w:color w:val="000000"/>
              </w:rPr>
              <w:t>Activities are expected to achieve TRL 7-8 by the end of the project – see General Annex B. Activities may start at any TRL.</w:t>
            </w:r>
          </w:p>
        </w:tc>
      </w:tr>
    </w:tbl>
    <w:p w14:paraId="0248621C" w14:textId="77777777" w:rsidR="003C6E25" w:rsidRDefault="003C6E25" w:rsidP="003C6E25">
      <w:pPr>
        <w:spacing w:after="0" w:line="150" w:lineRule="auto"/>
      </w:pPr>
    </w:p>
    <w:p w14:paraId="2DE87083" w14:textId="77777777" w:rsidR="003C6E25" w:rsidRDefault="003C6E25" w:rsidP="003C6E25">
      <w:r>
        <w:rPr>
          <w:u w:val="single"/>
        </w:rPr>
        <w:t>Expected Outcome</w:t>
      </w:r>
      <w:r>
        <w:t xml:space="preserve">: </w:t>
      </w:r>
      <w:r>
        <w:rPr>
          <w:color w:val="000000"/>
        </w:rPr>
        <w:t>Battery recycling is of strategic importance for both Europe and India, not only to keep raw materials in the respective territories but also to reduce the environmental impact of the recycling process. R&amp;I in this area has been identified as a priority by the EU-India Trade and Technology Council’s Working Group on Green and Clean Energy Technology to reinforce bilateral cooperation.</w:t>
      </w:r>
    </w:p>
    <w:p w14:paraId="49312F1A" w14:textId="77777777" w:rsidR="003C6E25" w:rsidRDefault="003C6E25" w:rsidP="003C6E25">
      <w:r>
        <w:rPr>
          <w:color w:val="000000"/>
        </w:rPr>
        <w:t>Project results are expected to contribute to all of the following expected outcomes:</w:t>
      </w:r>
    </w:p>
    <w:p w14:paraId="7EE8DD4C" w14:textId="77777777" w:rsidR="003C6E25" w:rsidRDefault="003C6E25" w:rsidP="003C6E25">
      <w:pPr>
        <w:pStyle w:val="ListParagraph"/>
        <w:numPr>
          <w:ilvl w:val="0"/>
          <w:numId w:val="10"/>
        </w:numPr>
        <w:contextualSpacing w:val="0"/>
      </w:pPr>
      <w:r>
        <w:rPr>
          <w:color w:val="000000"/>
        </w:rPr>
        <w:t>Battery recyclers based in the EU and India benefit from of the improved sustainability, safety, and affordability of innovative recycling processes.</w:t>
      </w:r>
    </w:p>
    <w:p w14:paraId="467E992E" w14:textId="77777777" w:rsidR="003C6E25" w:rsidRDefault="003C6E25" w:rsidP="003C6E25">
      <w:pPr>
        <w:pStyle w:val="ListParagraph"/>
        <w:numPr>
          <w:ilvl w:val="0"/>
          <w:numId w:val="10"/>
        </w:numPr>
        <w:contextualSpacing w:val="0"/>
      </w:pPr>
      <w:r>
        <w:rPr>
          <w:color w:val="000000"/>
        </w:rPr>
        <w:t>Stakeholders on battery recycling based in the EU and India benefit from each other’s experience on recycling logistics, including the informal processes and supply chain constraints.</w:t>
      </w:r>
    </w:p>
    <w:p w14:paraId="01C75B32" w14:textId="77777777" w:rsidR="003C6E25" w:rsidRDefault="003C6E25" w:rsidP="003C6E25">
      <w:pPr>
        <w:pStyle w:val="ListParagraph"/>
        <w:numPr>
          <w:ilvl w:val="0"/>
          <w:numId w:val="10"/>
        </w:numPr>
        <w:contextualSpacing w:val="0"/>
      </w:pPr>
      <w:r>
        <w:rPr>
          <w:color w:val="000000"/>
        </w:rPr>
        <w:t xml:space="preserve">The cooperation between EU and India key researchers, institutions and industries which are active in battery recycling is supported and strengthened. </w:t>
      </w:r>
    </w:p>
    <w:p w14:paraId="58024CB4" w14:textId="77777777" w:rsidR="003C6E25" w:rsidRDefault="003C6E25" w:rsidP="003C6E25">
      <w:r>
        <w:rPr>
          <w:u w:val="single"/>
        </w:rPr>
        <w:t>Scope</w:t>
      </w:r>
      <w:r>
        <w:t xml:space="preserve">: </w:t>
      </w:r>
      <w:r>
        <w:rPr>
          <w:color w:val="000000"/>
        </w:rPr>
        <w:t>Projects are expected to build a jointly operated recycling pilot line on Indian soil demonstrating innovative recycling processes for lithium-ion batteries going beyond the current state of the art in terms of recycling efficiency (in particular of Li), environmental impact, cost, and compatibility with different types of batteries (including those currently on the market and to be anticipated in the coming years). The pilot line must be able to process black mass including mixed chemistries with Li as end product, readily available input material for Cathode Active Material (CAM). Recovery of graphite or silicon/graphite in various compositions should also be addressed. Adequate benchmarking figures must be provided to show progress beyond the state of the art.</w:t>
      </w:r>
    </w:p>
    <w:p w14:paraId="6B45706E" w14:textId="77777777" w:rsidR="003C6E25" w:rsidRDefault="003C6E25" w:rsidP="003C6E25">
      <w:r>
        <w:rPr>
          <w:color w:val="000000"/>
        </w:rPr>
        <w:t>Projects are also expected to demonstrate effective use of technologies for logistics, sorting, collection and discharging of end-of-life batteries. This should involve the informal sector (i.e. end users, collection points, sales channels) and include the following two areas:</w:t>
      </w:r>
    </w:p>
    <w:p w14:paraId="61F7110A" w14:textId="77777777" w:rsidR="003C6E25" w:rsidRDefault="003C6E25" w:rsidP="003C6E25">
      <w:pPr>
        <w:pStyle w:val="ListParagraph"/>
        <w:numPr>
          <w:ilvl w:val="0"/>
          <w:numId w:val="11"/>
        </w:numPr>
        <w:contextualSpacing w:val="0"/>
      </w:pPr>
      <w:r>
        <w:rPr>
          <w:color w:val="000000"/>
        </w:rPr>
        <w:t>Development of innovative and digitalised waste collection systems towards zero-risk to improve quantity, quality, safety of the stored End of Life batteries</w:t>
      </w:r>
    </w:p>
    <w:p w14:paraId="5E5587D2" w14:textId="77777777" w:rsidR="003C6E25" w:rsidRDefault="003C6E25" w:rsidP="003C6E25">
      <w:pPr>
        <w:pStyle w:val="ListParagraph"/>
        <w:numPr>
          <w:ilvl w:val="0"/>
          <w:numId w:val="11"/>
        </w:numPr>
        <w:contextualSpacing w:val="0"/>
      </w:pPr>
      <w:r>
        <w:rPr>
          <w:color w:val="000000"/>
        </w:rPr>
        <w:t xml:space="preserve">Safe, fast, cost-efficient ways for large-scale discharging/deactivation End of Life batteries (both damaged and scraps), anticipating the development for new chemistries. </w:t>
      </w:r>
    </w:p>
    <w:p w14:paraId="12485F4E" w14:textId="77777777" w:rsidR="003C6E25" w:rsidRDefault="003C6E25" w:rsidP="003C6E25">
      <w:r>
        <w:rPr>
          <w:color w:val="000000"/>
        </w:rPr>
        <w:t>Projects are furthermore expected to assess the environmental impact of the piloted innovations in the recycling processes through Life Cycle Analysis.</w:t>
      </w:r>
    </w:p>
    <w:p w14:paraId="7D7CE8E8" w14:textId="77777777" w:rsidR="003C6E25" w:rsidRDefault="003C6E25" w:rsidP="003C6E25">
      <w:r>
        <w:rPr>
          <w:color w:val="000000"/>
        </w:rPr>
        <w:t xml:space="preserve">Projects to be aligned with the missions, policies and priorities in the area of battery recycling, in both the regions (India and the EU). On the Indian side, alignment with relevant regulatory and strategic frameworks is expected, such as the Battery Waste Management Rules (2022) and </w:t>
      </w:r>
      <w:r>
        <w:rPr>
          <w:color w:val="000000"/>
        </w:rPr>
        <w:lastRenderedPageBreak/>
        <w:t>the National Programme on Advanced Chemistry Cell (ACC) Battery Storage. EU projects are expected to build upon the activities of past and ongoing recycling-related projects under the BATT4EU partnership, as well as progress being made on the implementation of the Battery Passport. Projects are furthermore expected to be in line with the Batteries Regulation</w:t>
      </w:r>
      <w:r>
        <w:rPr>
          <w:vertAlign w:val="superscript"/>
        </w:rPr>
        <w:footnoteReference w:id="9"/>
      </w:r>
      <w:r>
        <w:rPr>
          <w:color w:val="000000"/>
        </w:rPr>
        <w:t xml:space="preserve"> (in particular with sections referring to recycling efficiency) and the Safe and Sustainable by Design guidelines</w:t>
      </w:r>
      <w:r>
        <w:rPr>
          <w:vertAlign w:val="superscript"/>
        </w:rPr>
        <w:footnoteReference w:id="10"/>
      </w:r>
      <w:r>
        <w:rPr>
          <w:color w:val="000000"/>
        </w:rPr>
        <w:t>.</w:t>
      </w:r>
    </w:p>
    <w:p w14:paraId="3C00079D" w14:textId="77777777" w:rsidR="003C6E25" w:rsidRDefault="003C6E25" w:rsidP="003C6E25">
      <w:r>
        <w:rPr>
          <w:color w:val="000000"/>
        </w:rPr>
        <w:t>The exploitation of results, including IPR, should be appropriately addressed in the proposal.</w:t>
      </w:r>
    </w:p>
    <w:p w14:paraId="6830EB46" w14:textId="77777777" w:rsidR="003C6E25" w:rsidRDefault="003C6E25" w:rsidP="003C6E25">
      <w:r>
        <w:rPr>
          <w:color w:val="000000"/>
        </w:rPr>
        <w:t>Joint work should benefit from the Indian and European experience in battery recycling. Aligned projects should have the same start date, the same duration, same targets, and must show clearly how the coordination among them will bring added scientific value. To ensure a project implementation that reflects a genuine EU-Indian cooperation, aligned projects should involve properly coordinated research activities between EU and India in the research plan of the two coordinated projects. Independent projects, which are not aligned, will be considered ineligible. Proposals will include detailed explanations about tasks and effort of the coordinated proposal as a whole and cross-references to the other part of the proposal.</w:t>
      </w:r>
    </w:p>
    <w:p w14:paraId="37BEC315" w14:textId="77777777" w:rsidR="003C6E25" w:rsidRDefault="003C6E25" w:rsidP="003C6E25">
      <w:r>
        <w:rPr>
          <w:color w:val="000000"/>
        </w:rPr>
        <w:t xml:space="preserve">The coordinated call aims at exploiting synergies between India and Europe in terms of scientific expertise and resources in topics related to battery recycling by implementing coordinated projects. Potential areas for collaboration (i.e. the coordinated part of the call) could include (but are not limited to) demonstration of more flexible and adaptable recycling processes capable of treating mixed battery chemistries; innovative &amp; digitalised waste collection systems; advanced sorting systems; active monitoring systems for high level of safety; safe, fast and cost-efficient discharging/deactivation (gen4 included); prediction for second-life use of batteries, diagnostics </w:t>
      </w:r>
      <w:proofErr w:type="spellStart"/>
      <w:r>
        <w:rPr>
          <w:color w:val="000000"/>
        </w:rPr>
        <w:t>incl</w:t>
      </w:r>
      <w:proofErr w:type="spellEnd"/>
      <w:r>
        <w:rPr>
          <w:color w:val="000000"/>
        </w:rPr>
        <w:t xml:space="preserve"> State of Health.</w:t>
      </w:r>
    </w:p>
    <w:p w14:paraId="2C4ED0A0" w14:textId="77777777" w:rsidR="003C6E25" w:rsidRDefault="003C6E25" w:rsidP="003C6E25">
      <w:r>
        <w:rPr>
          <w:color w:val="000000"/>
        </w:rPr>
        <w:t>The topic is within the scope of the EU-India Strategic Partnership and the EU-India Trade and Technology Council in relation to battery recycling technologies. For the purposes of this topic, the Ministry of Heavy Industries (MHI), Government of India has made the required funding available for the coordinated projects of the Indian side. A balanced effort and matched budget between Europe and India regarding the two coordinated calls are expected.</w:t>
      </w:r>
    </w:p>
    <w:p w14:paraId="66A6555A" w14:textId="77777777" w:rsidR="003C6E25" w:rsidRDefault="003C6E25" w:rsidP="003C6E25">
      <w:pPr>
        <w:pStyle w:val="HeadingThree"/>
      </w:pPr>
      <w:bookmarkStart w:id="5" w:name="_Toc199259757"/>
      <w:r>
        <w:t>HORIZON-CL5-2027-03-D2-05: Improvement of Adaptability, Flexibility and Efficiency of Existing Recycling Processes (BATT4EU Partnership)</w:t>
      </w:r>
      <w:bookmarkEnd w:id="5"/>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001"/>
        <w:gridCol w:w="7083"/>
      </w:tblGrid>
      <w:tr w:rsidR="003C6E25" w14:paraId="2EECBC21" w14:textId="77777777" w:rsidTr="00427782">
        <w:tc>
          <w:tcPr>
            <w:tcW w:w="0" w:type="auto"/>
            <w:gridSpan w:val="2"/>
          </w:tcPr>
          <w:p w14:paraId="162545A0" w14:textId="77777777" w:rsidR="003C6E25" w:rsidRDefault="003C6E25" w:rsidP="004B43A9">
            <w:pPr>
              <w:pStyle w:val="CellTextValue"/>
            </w:pPr>
            <w:r>
              <w:rPr>
                <w:b/>
              </w:rPr>
              <w:t>Call: Cluster 5 Call 03-2027 (WP2026-2027)</w:t>
            </w:r>
          </w:p>
        </w:tc>
      </w:tr>
      <w:tr w:rsidR="003C6E25" w14:paraId="76403F65" w14:textId="77777777" w:rsidTr="00427782">
        <w:tc>
          <w:tcPr>
            <w:tcW w:w="0" w:type="auto"/>
            <w:gridSpan w:val="2"/>
          </w:tcPr>
          <w:p w14:paraId="4AFA0FE2" w14:textId="77777777" w:rsidR="003C6E25" w:rsidRDefault="003C6E25" w:rsidP="004B43A9">
            <w:pPr>
              <w:pStyle w:val="CellTextValue"/>
            </w:pPr>
            <w:r>
              <w:rPr>
                <w:b/>
              </w:rPr>
              <w:t>Specific conditions</w:t>
            </w:r>
          </w:p>
        </w:tc>
      </w:tr>
      <w:tr w:rsidR="003C6E25" w14:paraId="7C01C188" w14:textId="77777777">
        <w:tc>
          <w:tcPr>
            <w:tcW w:w="0" w:type="auto"/>
          </w:tcPr>
          <w:p w14:paraId="19CCEDEB" w14:textId="77777777" w:rsidR="003C6E25" w:rsidRDefault="003C6E25" w:rsidP="004B43A9">
            <w:pPr>
              <w:pStyle w:val="CellTextValue"/>
              <w:jc w:val="left"/>
            </w:pPr>
            <w:r>
              <w:rPr>
                <w:i/>
              </w:rPr>
              <w:lastRenderedPageBreak/>
              <w:t>Expected EU contribution per project</w:t>
            </w:r>
          </w:p>
        </w:tc>
        <w:tc>
          <w:tcPr>
            <w:tcW w:w="0" w:type="auto"/>
          </w:tcPr>
          <w:p w14:paraId="65D01D52" w14:textId="77777777" w:rsidR="003C6E25" w:rsidRDefault="003C6E25" w:rsidP="004B43A9">
            <w:pPr>
              <w:pStyle w:val="CellTextValue"/>
            </w:pPr>
            <w:r>
              <w:t>The Commission estimates that an EU contribution of around EUR 10.00 million would allow these outcomes to be addressed appropriately. Nonetheless, this does not preclude submission and selection of a proposal requesting different amounts.</w:t>
            </w:r>
          </w:p>
        </w:tc>
      </w:tr>
      <w:tr w:rsidR="003C6E25" w14:paraId="7DF4AB2F" w14:textId="77777777">
        <w:tc>
          <w:tcPr>
            <w:tcW w:w="0" w:type="auto"/>
          </w:tcPr>
          <w:p w14:paraId="6A6A6A13" w14:textId="77777777" w:rsidR="003C6E25" w:rsidRDefault="003C6E25" w:rsidP="004B43A9">
            <w:pPr>
              <w:pStyle w:val="CellTextValue"/>
              <w:jc w:val="left"/>
            </w:pPr>
            <w:r>
              <w:rPr>
                <w:i/>
              </w:rPr>
              <w:t>Indicative budget</w:t>
            </w:r>
          </w:p>
        </w:tc>
        <w:tc>
          <w:tcPr>
            <w:tcW w:w="0" w:type="auto"/>
          </w:tcPr>
          <w:p w14:paraId="0F745BDB" w14:textId="77777777" w:rsidR="003C6E25" w:rsidRDefault="003C6E25" w:rsidP="004B43A9">
            <w:pPr>
              <w:pStyle w:val="CellTextValue"/>
            </w:pPr>
            <w:r>
              <w:t>The total indicative budget for the topic is EUR 20.00 million.</w:t>
            </w:r>
          </w:p>
        </w:tc>
      </w:tr>
      <w:tr w:rsidR="003C6E25" w14:paraId="4A25D64D" w14:textId="77777777">
        <w:tc>
          <w:tcPr>
            <w:tcW w:w="0" w:type="auto"/>
          </w:tcPr>
          <w:p w14:paraId="2E5826FB" w14:textId="77777777" w:rsidR="003C6E25" w:rsidRDefault="003C6E25" w:rsidP="004B43A9">
            <w:pPr>
              <w:pStyle w:val="CellTextValue"/>
              <w:jc w:val="left"/>
            </w:pPr>
            <w:r>
              <w:rPr>
                <w:i/>
              </w:rPr>
              <w:t>Type of Action</w:t>
            </w:r>
          </w:p>
        </w:tc>
        <w:tc>
          <w:tcPr>
            <w:tcW w:w="0" w:type="auto"/>
          </w:tcPr>
          <w:p w14:paraId="06DC3D3C" w14:textId="77777777" w:rsidR="003C6E25" w:rsidRDefault="003C6E25" w:rsidP="004B43A9">
            <w:pPr>
              <w:pStyle w:val="CellTextValue"/>
            </w:pPr>
            <w:r>
              <w:rPr>
                <w:color w:val="000000"/>
              </w:rPr>
              <w:t>Innovation Actions</w:t>
            </w:r>
          </w:p>
        </w:tc>
      </w:tr>
      <w:tr w:rsidR="003C6E25" w14:paraId="731A95C4" w14:textId="77777777">
        <w:tc>
          <w:tcPr>
            <w:tcW w:w="0" w:type="auto"/>
          </w:tcPr>
          <w:p w14:paraId="289B27F5" w14:textId="77777777" w:rsidR="003C6E25" w:rsidRDefault="003C6E25" w:rsidP="004B43A9">
            <w:pPr>
              <w:pStyle w:val="CellTextValue"/>
              <w:jc w:val="left"/>
            </w:pPr>
            <w:r>
              <w:rPr>
                <w:i/>
              </w:rPr>
              <w:t>Eligibility conditions</w:t>
            </w:r>
          </w:p>
        </w:tc>
        <w:tc>
          <w:tcPr>
            <w:tcW w:w="0" w:type="auto"/>
          </w:tcPr>
          <w:p w14:paraId="6358AFA1" w14:textId="77777777" w:rsidR="003C6E25" w:rsidRDefault="003C6E25" w:rsidP="004B43A9">
            <w:pPr>
              <w:pStyle w:val="CellTextValue"/>
            </w:pPr>
            <w:r>
              <w:rPr>
                <w:color w:val="000000"/>
              </w:rPr>
              <w:t>The conditions are described in General Annex B. The following exceptions apply:</w:t>
            </w:r>
          </w:p>
          <w:p w14:paraId="5C569438" w14:textId="77777777" w:rsidR="003C6E25" w:rsidRDefault="003C6E25" w:rsidP="004B43A9">
            <w:pPr>
              <w:pStyle w:val="CellTextValue"/>
            </w:pPr>
            <w:r>
              <w:rPr>
                <w:color w:val="000000"/>
              </w:rPr>
              <w:t>If projects use satellite-based earth observation, positioning, navigation and/or related timing data and services, beneficiaries must make use of Copernicus and/or Galileo/EGNOS (other data and services may additionally be used).</w:t>
            </w:r>
          </w:p>
          <w:p w14:paraId="0081154B" w14:textId="77777777" w:rsidR="003C6E25" w:rsidRDefault="003C6E25" w:rsidP="004B43A9">
            <w:pPr>
              <w:pStyle w:val="CellTextValue"/>
            </w:pPr>
            <w:r>
              <w:rPr>
                <w:color w:val="000000"/>
              </w:rPr>
              <w:t>The Joint Research Centre (JRC) may participate as member of the consortium selected for funding.</w:t>
            </w:r>
          </w:p>
        </w:tc>
      </w:tr>
      <w:tr w:rsidR="003C6E25" w14:paraId="52D9333F" w14:textId="77777777">
        <w:tc>
          <w:tcPr>
            <w:tcW w:w="0" w:type="auto"/>
          </w:tcPr>
          <w:p w14:paraId="5DF070E5" w14:textId="77777777" w:rsidR="003C6E25" w:rsidRDefault="003C6E25" w:rsidP="004B43A9">
            <w:pPr>
              <w:pStyle w:val="CellTextValue"/>
              <w:jc w:val="left"/>
            </w:pPr>
            <w:r>
              <w:rPr>
                <w:i/>
              </w:rPr>
              <w:t>Technology Readiness Level</w:t>
            </w:r>
          </w:p>
        </w:tc>
        <w:tc>
          <w:tcPr>
            <w:tcW w:w="0" w:type="auto"/>
          </w:tcPr>
          <w:p w14:paraId="6C27EDC3" w14:textId="77777777" w:rsidR="003C6E25" w:rsidRDefault="003C6E25" w:rsidP="004B43A9">
            <w:pPr>
              <w:pStyle w:val="CellTextValue"/>
            </w:pPr>
            <w:r>
              <w:rPr>
                <w:color w:val="000000"/>
              </w:rPr>
              <w:t>Activities are expected to achieve TRL 6-7 by the end of the project – see General Annex B. Activities may start at any TRL.</w:t>
            </w:r>
          </w:p>
        </w:tc>
      </w:tr>
    </w:tbl>
    <w:p w14:paraId="718FD6D1" w14:textId="77777777" w:rsidR="003C6E25" w:rsidRDefault="003C6E25" w:rsidP="003C6E25">
      <w:pPr>
        <w:spacing w:after="0" w:line="150" w:lineRule="auto"/>
      </w:pPr>
    </w:p>
    <w:p w14:paraId="36311573" w14:textId="77777777" w:rsidR="003C6E25" w:rsidRDefault="003C6E25" w:rsidP="003C6E25">
      <w:r>
        <w:rPr>
          <w:u w:val="single"/>
        </w:rPr>
        <w:t>Expected Outcome</w:t>
      </w:r>
      <w:r>
        <w:t xml:space="preserve">: </w:t>
      </w:r>
      <w:r>
        <w:rPr>
          <w:color w:val="000000"/>
        </w:rPr>
        <w:t>Proposals are expected to contribute to all following points:</w:t>
      </w:r>
    </w:p>
    <w:p w14:paraId="1410AAA1" w14:textId="77777777" w:rsidR="003C6E25" w:rsidRDefault="003C6E25" w:rsidP="003C6E25">
      <w:pPr>
        <w:pStyle w:val="ListParagraph"/>
        <w:numPr>
          <w:ilvl w:val="0"/>
          <w:numId w:val="12"/>
        </w:numPr>
        <w:contextualSpacing w:val="0"/>
      </w:pPr>
      <w:r>
        <w:rPr>
          <w:color w:val="000000"/>
        </w:rPr>
        <w:t>Improving cost and recovery efficiency of existing scaled recycling technologies</w:t>
      </w:r>
    </w:p>
    <w:p w14:paraId="5E6EB1C3" w14:textId="77777777" w:rsidR="003C6E25" w:rsidRDefault="003C6E25" w:rsidP="003C6E25">
      <w:pPr>
        <w:pStyle w:val="ListParagraph"/>
        <w:numPr>
          <w:ilvl w:val="0"/>
          <w:numId w:val="12"/>
        </w:numPr>
        <w:contextualSpacing w:val="0"/>
      </w:pPr>
      <w:r>
        <w:rPr>
          <w:color w:val="000000"/>
        </w:rPr>
        <w:t>Demonstrated technological solutions capable of efficiently recycling diverse feedstocks, including production scrap, and mixed lithium-ion battery chemistries</w:t>
      </w:r>
    </w:p>
    <w:p w14:paraId="57A6666C" w14:textId="77777777" w:rsidR="003C6E25" w:rsidRDefault="003C6E25" w:rsidP="003C6E25">
      <w:pPr>
        <w:pStyle w:val="ListParagraph"/>
        <w:numPr>
          <w:ilvl w:val="0"/>
          <w:numId w:val="12"/>
        </w:numPr>
        <w:contextualSpacing w:val="0"/>
      </w:pPr>
      <w:r>
        <w:rPr>
          <w:color w:val="000000"/>
        </w:rPr>
        <w:t>Improved European competitiveness by reducing EU dependence on imported raw materials through improved recycling processes</w:t>
      </w:r>
    </w:p>
    <w:p w14:paraId="25B41C3F" w14:textId="77777777" w:rsidR="003C6E25" w:rsidRDefault="003C6E25" w:rsidP="003C6E25">
      <w:pPr>
        <w:pStyle w:val="ListParagraph"/>
        <w:numPr>
          <w:ilvl w:val="0"/>
          <w:numId w:val="12"/>
        </w:numPr>
        <w:contextualSpacing w:val="0"/>
      </w:pPr>
      <w:r>
        <w:rPr>
          <w:color w:val="000000"/>
        </w:rPr>
        <w:t xml:space="preserve">Demonstrable compliance with the targets and requirements set by the EU Batteries Regulation, including recycling efficiency and material recovery rates.  </w:t>
      </w:r>
    </w:p>
    <w:p w14:paraId="09AC5CA8" w14:textId="77777777" w:rsidR="003C6E25" w:rsidRDefault="003C6E25" w:rsidP="003C6E25">
      <w:r>
        <w:rPr>
          <w:u w:val="single"/>
        </w:rPr>
        <w:t>Scope</w:t>
      </w:r>
      <w:r>
        <w:t xml:space="preserve">: </w:t>
      </w:r>
      <w:r>
        <w:rPr>
          <w:color w:val="000000"/>
        </w:rPr>
        <w:t>Proposals under this topic are expected to specifically address innovation actions that enhance the adaptability, flexibility, and operational efficiency of existing battery recycling processes.</w:t>
      </w:r>
    </w:p>
    <w:p w14:paraId="346B3C40" w14:textId="77777777" w:rsidR="003C6E25" w:rsidRDefault="003C6E25" w:rsidP="003C6E25">
      <w:r>
        <w:rPr>
          <w:color w:val="000000"/>
        </w:rPr>
        <w:t>Projects are expected to explicitly target improvements for processing mixed input streams, particularly production scrap and various lithium-ion battery chemistries</w:t>
      </w:r>
    </w:p>
    <w:p w14:paraId="10F324F7" w14:textId="77777777" w:rsidR="003C6E25" w:rsidRDefault="003C6E25" w:rsidP="003C6E25">
      <w:r>
        <w:rPr>
          <w:color w:val="000000"/>
        </w:rPr>
        <w:t>Proposals must clearly demonstrate technical innovations in black mass processing, resulting in the efficient recovery of high-purity battery-grade materials suitable for reintroduction into the European battery manufacturing value chain.</w:t>
      </w:r>
    </w:p>
    <w:p w14:paraId="5ADDD6AB" w14:textId="77777777" w:rsidR="003C6E25" w:rsidRDefault="003C6E25" w:rsidP="003C6E25">
      <w:r>
        <w:rPr>
          <w:color w:val="000000"/>
        </w:rPr>
        <w:t>Proposals are expected to address all of the following points:</w:t>
      </w:r>
    </w:p>
    <w:p w14:paraId="0B814E24" w14:textId="77777777" w:rsidR="003C6E25" w:rsidRDefault="003C6E25" w:rsidP="003C6E25">
      <w:pPr>
        <w:pStyle w:val="ListParagraph"/>
        <w:numPr>
          <w:ilvl w:val="0"/>
          <w:numId w:val="13"/>
        </w:numPr>
        <w:contextualSpacing w:val="0"/>
      </w:pPr>
      <w:r>
        <w:rPr>
          <w:color w:val="000000"/>
        </w:rPr>
        <w:lastRenderedPageBreak/>
        <w:t>Development and demonstration of recycling technologies capable of handling variable composition feedstocks, potentially within the same batch.</w:t>
      </w:r>
    </w:p>
    <w:p w14:paraId="7A9F83C1" w14:textId="77777777" w:rsidR="003C6E25" w:rsidRDefault="003C6E25" w:rsidP="003C6E25">
      <w:pPr>
        <w:pStyle w:val="ListParagraph"/>
        <w:numPr>
          <w:ilvl w:val="0"/>
          <w:numId w:val="13"/>
        </w:numPr>
        <w:contextualSpacing w:val="0"/>
      </w:pPr>
      <w:r>
        <w:rPr>
          <w:color w:val="000000"/>
        </w:rPr>
        <w:t>Optimization of hydrometallurgical and/or pyrometallurgical processes for enhanced recovery rates of critical raw metals, aiming to at least achieve recovery efficiencies requirements set by the EU Batteries Regulation</w:t>
      </w:r>
    </w:p>
    <w:p w14:paraId="548E8AA8" w14:textId="77777777" w:rsidR="003C6E25" w:rsidRDefault="003C6E25" w:rsidP="003C6E25">
      <w:pPr>
        <w:pStyle w:val="ListParagraph"/>
        <w:numPr>
          <w:ilvl w:val="0"/>
          <w:numId w:val="13"/>
        </w:numPr>
        <w:contextualSpacing w:val="0"/>
      </w:pPr>
      <w:r>
        <w:rPr>
          <w:color w:val="000000"/>
        </w:rPr>
        <w:t xml:space="preserve">Detailed techno-economic assessments (TEA) and comprehensive life-cycle assessments (LCA), demonstrating significant improvements in energy efficiency, CO2 and ecological footprint reduction, and economic viability.  </w:t>
      </w:r>
    </w:p>
    <w:p w14:paraId="7B6A3F7F" w14:textId="77777777" w:rsidR="003C6E25" w:rsidRDefault="003C6E25" w:rsidP="003C6E25">
      <w:r>
        <w:rPr>
          <w:color w:val="000000"/>
        </w:rPr>
        <w:t>Where required, proposals should include robust and digitalised sorting technologies and other advanced pre-treatment technologies.</w:t>
      </w:r>
    </w:p>
    <w:p w14:paraId="3612DDA1" w14:textId="77777777" w:rsidR="003C6E25" w:rsidRDefault="003C6E25" w:rsidP="003C6E25">
      <w:r>
        <w:rPr>
          <w:color w:val="000000"/>
        </w:rPr>
        <w:t>The Commission initiative for Safe and Sustainable by Design</w:t>
      </w:r>
      <w:r>
        <w:rPr>
          <w:vertAlign w:val="superscript"/>
        </w:rPr>
        <w:footnoteReference w:id="11"/>
      </w:r>
      <w:r>
        <w:rPr>
          <w:color w:val="000000"/>
        </w:rPr>
        <w:t xml:space="preserve"> (</w:t>
      </w:r>
      <w:proofErr w:type="spellStart"/>
      <w:r>
        <w:rPr>
          <w:color w:val="000000"/>
        </w:rPr>
        <w:t>SSbD</w:t>
      </w:r>
      <w:proofErr w:type="spellEnd"/>
      <w:r>
        <w:rPr>
          <w:color w:val="000000"/>
        </w:rPr>
        <w:t>) sets a framework for assessing the safety and sustainability of chemicals and materials which should be considered as a reference for project proposals.</w:t>
      </w:r>
    </w:p>
    <w:p w14:paraId="0CCD31F3" w14:textId="77777777" w:rsidR="003C6E25" w:rsidRDefault="003C6E25" w:rsidP="003C6E25">
      <w:r>
        <w:rPr>
          <w:color w:val="000000"/>
        </w:rPr>
        <w:t>Whenever the expected exploitation of project results entails developing, creating, manufacturing and marketing a product or process, or in creating and providing a service, the plan for the exploitation and dissemination of results must include a strategy for such exploitation. The exploitation plans are expected to include preliminary plans for scalability, commercialisation, and deployment (feasibility study, business plan) indicating the possible funding sources to be potentially used (in particular the Innovation Fund).</w:t>
      </w:r>
    </w:p>
    <w:p w14:paraId="3701DD31" w14:textId="77777777" w:rsidR="003C6E25" w:rsidRDefault="003C6E25" w:rsidP="003C6E25">
      <w:r>
        <w:rPr>
          <w:color w:val="000000"/>
        </w:rPr>
        <w:t>Proposals could consider the involvement of the European Commission's Joint Research Centre (JRC)</w:t>
      </w:r>
      <w:r>
        <w:rPr>
          <w:vertAlign w:val="superscript"/>
        </w:rPr>
        <w:footnoteReference w:id="12"/>
      </w:r>
      <w:r>
        <w:rPr>
          <w:color w:val="000000"/>
        </w:rPr>
        <w:t xml:space="preserve"> whose contribution could consist of providing added-value regarding various aspects of battery circularity and sustainability. For further information on the JRC’s possible contribution to the projects, please, search for additional publicly available information on the JRC’s website (EU Science Hub) on the NCP portal, or request specific information from the JRC (JRC-NCP-Network@ec.europa.eu)</w:t>
      </w:r>
    </w:p>
    <w:p w14:paraId="5D8F7731" w14:textId="77777777" w:rsidR="003C6E25" w:rsidRDefault="003C6E25" w:rsidP="003C6E25">
      <w:r>
        <w:rPr>
          <w:color w:val="000000"/>
        </w:rPr>
        <w:t>JRC shall assure that all the other applicants receive the same information on the JRC’s possible contribution to the project (e.g., via the topic-specific FAQs under the Funding and Tenders Portal).</w:t>
      </w:r>
    </w:p>
    <w:p w14:paraId="63DC7D32" w14:textId="77777777" w:rsidR="003C6E25" w:rsidRDefault="003C6E25" w:rsidP="003C6E25">
      <w:r>
        <w:rPr>
          <w:color w:val="000000"/>
        </w:rPr>
        <w:t>This topic implements the co-programmed European Partnership on Batteries (Batt4EU). As such, projects resulting from this topic will be expected to report on the results to the European Partnership on Batteries (Batt4EU) in support of the monitoring of its KPIs.</w:t>
      </w:r>
    </w:p>
    <w:p w14:paraId="1CBBE4AC" w14:textId="77777777" w:rsidR="003C6E25" w:rsidRDefault="003C6E25" w:rsidP="003C6E25">
      <w:pPr>
        <w:pStyle w:val="HeadingThree"/>
      </w:pPr>
      <w:bookmarkStart w:id="6" w:name="_Toc199259758"/>
      <w:r>
        <w:lastRenderedPageBreak/>
        <w:t>HORIZON-CL5-2027-03-D2-06: Sustainable and Competitive Cell Production Techniques for Lithium-ion And Sodium-ion Batteries (BATT4EU Partnership)</w:t>
      </w:r>
      <w:bookmarkEnd w:id="6"/>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001"/>
        <w:gridCol w:w="7083"/>
      </w:tblGrid>
      <w:tr w:rsidR="003C6E25" w14:paraId="1268B79E" w14:textId="77777777" w:rsidTr="00427782">
        <w:tc>
          <w:tcPr>
            <w:tcW w:w="0" w:type="auto"/>
            <w:gridSpan w:val="2"/>
          </w:tcPr>
          <w:p w14:paraId="6F405779" w14:textId="77777777" w:rsidR="003C6E25" w:rsidRDefault="003C6E25" w:rsidP="004B43A9">
            <w:pPr>
              <w:pStyle w:val="CellTextValue"/>
            </w:pPr>
            <w:r>
              <w:rPr>
                <w:b/>
              </w:rPr>
              <w:t>Call: Cluster 5 Call 03-2027 (WP2026-2027)</w:t>
            </w:r>
          </w:p>
        </w:tc>
      </w:tr>
      <w:tr w:rsidR="003C6E25" w14:paraId="2BF79B07" w14:textId="77777777" w:rsidTr="00427782">
        <w:tc>
          <w:tcPr>
            <w:tcW w:w="0" w:type="auto"/>
            <w:gridSpan w:val="2"/>
          </w:tcPr>
          <w:p w14:paraId="5658E936" w14:textId="77777777" w:rsidR="003C6E25" w:rsidRDefault="003C6E25" w:rsidP="004B43A9">
            <w:pPr>
              <w:pStyle w:val="CellTextValue"/>
            </w:pPr>
            <w:r>
              <w:rPr>
                <w:b/>
              </w:rPr>
              <w:t>Specific conditions</w:t>
            </w:r>
          </w:p>
        </w:tc>
      </w:tr>
      <w:tr w:rsidR="003C6E25" w14:paraId="672CB041" w14:textId="77777777">
        <w:tc>
          <w:tcPr>
            <w:tcW w:w="0" w:type="auto"/>
          </w:tcPr>
          <w:p w14:paraId="55033049" w14:textId="77777777" w:rsidR="003C6E25" w:rsidRDefault="003C6E25" w:rsidP="004B43A9">
            <w:pPr>
              <w:pStyle w:val="CellTextValue"/>
              <w:jc w:val="left"/>
            </w:pPr>
            <w:r>
              <w:rPr>
                <w:i/>
              </w:rPr>
              <w:t>Expected EU contribution per project</w:t>
            </w:r>
          </w:p>
        </w:tc>
        <w:tc>
          <w:tcPr>
            <w:tcW w:w="0" w:type="auto"/>
          </w:tcPr>
          <w:p w14:paraId="76604B11" w14:textId="77777777" w:rsidR="003C6E25" w:rsidRDefault="003C6E25" w:rsidP="004B43A9">
            <w:pPr>
              <w:pStyle w:val="CellTextValue"/>
            </w:pPr>
            <w:r>
              <w:t>The Commission estimates that an EU contribution of around EUR 20.00 million would allow these outcomes to be addressed appropriately. Nonetheless, this does not preclude submission and selection of a proposal requesting different amounts.</w:t>
            </w:r>
          </w:p>
        </w:tc>
      </w:tr>
      <w:tr w:rsidR="003C6E25" w14:paraId="4A40FCFC" w14:textId="77777777">
        <w:tc>
          <w:tcPr>
            <w:tcW w:w="0" w:type="auto"/>
          </w:tcPr>
          <w:p w14:paraId="387288CD" w14:textId="77777777" w:rsidR="003C6E25" w:rsidRDefault="003C6E25" w:rsidP="004B43A9">
            <w:pPr>
              <w:pStyle w:val="CellTextValue"/>
              <w:jc w:val="left"/>
            </w:pPr>
            <w:r>
              <w:rPr>
                <w:i/>
              </w:rPr>
              <w:t>Indicative budget</w:t>
            </w:r>
          </w:p>
        </w:tc>
        <w:tc>
          <w:tcPr>
            <w:tcW w:w="0" w:type="auto"/>
          </w:tcPr>
          <w:p w14:paraId="1CF6FC7D" w14:textId="77777777" w:rsidR="003C6E25" w:rsidRDefault="003C6E25" w:rsidP="004B43A9">
            <w:pPr>
              <w:pStyle w:val="CellTextValue"/>
            </w:pPr>
            <w:r>
              <w:t>The total indicative budget for the topic is EUR 40.00 million.</w:t>
            </w:r>
          </w:p>
        </w:tc>
      </w:tr>
      <w:tr w:rsidR="003C6E25" w14:paraId="56E53FB6" w14:textId="77777777">
        <w:tc>
          <w:tcPr>
            <w:tcW w:w="0" w:type="auto"/>
          </w:tcPr>
          <w:p w14:paraId="3A362484" w14:textId="77777777" w:rsidR="003C6E25" w:rsidRDefault="003C6E25" w:rsidP="004B43A9">
            <w:pPr>
              <w:pStyle w:val="CellTextValue"/>
              <w:jc w:val="left"/>
            </w:pPr>
            <w:r>
              <w:rPr>
                <w:i/>
              </w:rPr>
              <w:t>Type of Action</w:t>
            </w:r>
          </w:p>
        </w:tc>
        <w:tc>
          <w:tcPr>
            <w:tcW w:w="0" w:type="auto"/>
          </w:tcPr>
          <w:p w14:paraId="4A23B50B" w14:textId="77777777" w:rsidR="003C6E25" w:rsidRDefault="003C6E25" w:rsidP="004B43A9">
            <w:pPr>
              <w:pStyle w:val="CellTextValue"/>
            </w:pPr>
            <w:r>
              <w:rPr>
                <w:color w:val="000000"/>
              </w:rPr>
              <w:t>Innovation Actions</w:t>
            </w:r>
          </w:p>
        </w:tc>
      </w:tr>
      <w:tr w:rsidR="003C6E25" w14:paraId="54AC3786" w14:textId="77777777">
        <w:tc>
          <w:tcPr>
            <w:tcW w:w="0" w:type="auto"/>
          </w:tcPr>
          <w:p w14:paraId="33CA055B" w14:textId="77777777" w:rsidR="003C6E25" w:rsidRDefault="003C6E25" w:rsidP="004B43A9">
            <w:pPr>
              <w:pStyle w:val="CellTextValue"/>
              <w:jc w:val="left"/>
            </w:pPr>
            <w:r>
              <w:rPr>
                <w:i/>
              </w:rPr>
              <w:t>Eligibility conditions</w:t>
            </w:r>
          </w:p>
        </w:tc>
        <w:tc>
          <w:tcPr>
            <w:tcW w:w="0" w:type="auto"/>
          </w:tcPr>
          <w:p w14:paraId="683C3E89" w14:textId="77777777" w:rsidR="003C6E25" w:rsidRDefault="003C6E25" w:rsidP="004B43A9">
            <w:pPr>
              <w:pStyle w:val="CellTextValue"/>
            </w:pPr>
            <w:r>
              <w:rPr>
                <w:color w:val="000000"/>
              </w:rPr>
              <w:t>The conditions are described in General Annex B. The following exceptions apply:</w:t>
            </w:r>
          </w:p>
          <w:p w14:paraId="6A37FCBC" w14:textId="77777777" w:rsidR="003C6E25" w:rsidRDefault="003C6E25" w:rsidP="004B43A9">
            <w:pPr>
              <w:pStyle w:val="CellTextValue"/>
            </w:pPr>
            <w:r>
              <w:rPr>
                <w:color w:val="000000"/>
              </w:rPr>
              <w:t>If projects use satellite-based earth observation, positioning, navigation and/or related timing data and services, beneficiaries must make use of Copernicus and/or Galileo/EGNOS (other data and services may additionally be used).</w:t>
            </w:r>
          </w:p>
          <w:p w14:paraId="00E7B8E1" w14:textId="77777777" w:rsidR="003C6E25" w:rsidRDefault="003C6E25" w:rsidP="004B43A9">
            <w:pPr>
              <w:pStyle w:val="CellTextValue"/>
            </w:pPr>
            <w:r>
              <w:rPr>
                <w:color w:val="000000"/>
              </w:rPr>
              <w:t>The Joint Research Centre (JRC) may participate as member of the consortium selected for funding.</w:t>
            </w:r>
          </w:p>
        </w:tc>
      </w:tr>
      <w:tr w:rsidR="003C6E25" w14:paraId="0B997069" w14:textId="77777777">
        <w:tc>
          <w:tcPr>
            <w:tcW w:w="0" w:type="auto"/>
          </w:tcPr>
          <w:p w14:paraId="6DDAFAD3" w14:textId="77777777" w:rsidR="003C6E25" w:rsidRDefault="003C6E25" w:rsidP="004B43A9">
            <w:pPr>
              <w:pStyle w:val="CellTextValue"/>
              <w:jc w:val="left"/>
            </w:pPr>
            <w:r>
              <w:rPr>
                <w:i/>
              </w:rPr>
              <w:t>Technology Readiness Level</w:t>
            </w:r>
          </w:p>
        </w:tc>
        <w:tc>
          <w:tcPr>
            <w:tcW w:w="0" w:type="auto"/>
          </w:tcPr>
          <w:p w14:paraId="04D57295" w14:textId="77777777" w:rsidR="003C6E25" w:rsidRDefault="003C6E25" w:rsidP="004B43A9">
            <w:pPr>
              <w:pStyle w:val="CellTextValue"/>
            </w:pPr>
            <w:r>
              <w:rPr>
                <w:color w:val="000000"/>
              </w:rPr>
              <w:t>Activities are expected to achieve TRL 6-7 by the end of the project – see General Annex B. Activities may start at any TRL.</w:t>
            </w:r>
          </w:p>
        </w:tc>
      </w:tr>
    </w:tbl>
    <w:p w14:paraId="187A1B0D" w14:textId="77777777" w:rsidR="003C6E25" w:rsidRDefault="003C6E25" w:rsidP="003C6E25">
      <w:pPr>
        <w:spacing w:after="0" w:line="150" w:lineRule="auto"/>
      </w:pPr>
    </w:p>
    <w:p w14:paraId="1F6C9053" w14:textId="77777777" w:rsidR="003C6E25" w:rsidRDefault="003C6E25" w:rsidP="003C6E25">
      <w:r>
        <w:rPr>
          <w:u w:val="single"/>
        </w:rPr>
        <w:t>Expected Outcome</w:t>
      </w:r>
      <w:r>
        <w:t xml:space="preserve">: </w:t>
      </w:r>
      <w:r>
        <w:rPr>
          <w:color w:val="000000"/>
        </w:rPr>
        <w:t>Proposals are expected to contribute to all following points:</w:t>
      </w:r>
    </w:p>
    <w:p w14:paraId="22E98863" w14:textId="77777777" w:rsidR="003C6E25" w:rsidRDefault="003C6E25" w:rsidP="003C6E25">
      <w:pPr>
        <w:pStyle w:val="ListParagraph"/>
        <w:numPr>
          <w:ilvl w:val="0"/>
          <w:numId w:val="14"/>
        </w:numPr>
        <w:contextualSpacing w:val="0"/>
      </w:pPr>
      <w:r>
        <w:rPr>
          <w:color w:val="000000"/>
        </w:rPr>
        <w:t>Significantly enhanced competitiveness, resilience, and sustainability of the European battery cell manufacturing industry, achieving measurable reductions in capital expenditure (CAPEX), operational expenditure (OPEX), energy consumption, and environmental footprint compared to state-of-the-art processes.</w:t>
      </w:r>
    </w:p>
    <w:p w14:paraId="7421F556" w14:textId="77777777" w:rsidR="003C6E25" w:rsidRDefault="003C6E25" w:rsidP="003C6E25">
      <w:pPr>
        <w:pStyle w:val="ListParagraph"/>
        <w:numPr>
          <w:ilvl w:val="0"/>
          <w:numId w:val="14"/>
        </w:numPr>
        <w:contextualSpacing w:val="0"/>
      </w:pPr>
      <w:r>
        <w:rPr>
          <w:color w:val="000000"/>
        </w:rPr>
        <w:t>Demonstrated advanced manufacturing processes and equipment that substantially decrease battery production costs and improve overall production efficiency and battery quality.</w:t>
      </w:r>
    </w:p>
    <w:p w14:paraId="55CDC6FF" w14:textId="77777777" w:rsidR="003C6E25" w:rsidRDefault="003C6E25" w:rsidP="003C6E25">
      <w:pPr>
        <w:pStyle w:val="ListParagraph"/>
        <w:numPr>
          <w:ilvl w:val="0"/>
          <w:numId w:val="14"/>
        </w:numPr>
        <w:contextualSpacing w:val="0"/>
      </w:pPr>
      <w:r>
        <w:rPr>
          <w:color w:val="000000"/>
        </w:rPr>
        <w:t xml:space="preserve">Established flexible and modular pilot production lines capable of efficiently transitioning between various battery chemistries and compositions, with demonstrated reduction in cross-contamination and effective management of sensitive materials.  </w:t>
      </w:r>
    </w:p>
    <w:p w14:paraId="52580E0F" w14:textId="77777777" w:rsidR="003C6E25" w:rsidRDefault="003C6E25" w:rsidP="003C6E25">
      <w:r>
        <w:rPr>
          <w:u w:val="single"/>
        </w:rPr>
        <w:t>Scope</w:t>
      </w:r>
      <w:r>
        <w:t xml:space="preserve">: </w:t>
      </w:r>
      <w:r>
        <w:rPr>
          <w:color w:val="000000"/>
        </w:rPr>
        <w:t xml:space="preserve">Proposals must target the development and demonstration of innovative, next-generation battery cell manufacturing processes and machinery. These solutions are expected to explicitly focus on simultaneously achieving significant cost reductions and considerable decreases in </w:t>
      </w:r>
      <w:r>
        <w:rPr>
          <w:color w:val="000000"/>
        </w:rPr>
        <w:lastRenderedPageBreak/>
        <w:t>energy consumption over the battery lifecycle, while maintaining or improving battery cell quality and sustainability metrics.</w:t>
      </w:r>
    </w:p>
    <w:p w14:paraId="17204518" w14:textId="77777777" w:rsidR="003C6E25" w:rsidRDefault="003C6E25" w:rsidP="003C6E25">
      <w:r>
        <w:rPr>
          <w:color w:val="000000"/>
        </w:rPr>
        <w:t>Proposals are expected to address all of the following:</w:t>
      </w:r>
    </w:p>
    <w:p w14:paraId="4C0775EC" w14:textId="77777777" w:rsidR="003C6E25" w:rsidRDefault="003C6E25" w:rsidP="003C6E25">
      <w:pPr>
        <w:pStyle w:val="ListParagraph"/>
        <w:numPr>
          <w:ilvl w:val="0"/>
          <w:numId w:val="15"/>
        </w:numPr>
        <w:contextualSpacing w:val="0"/>
      </w:pPr>
      <w:r>
        <w:rPr>
          <w:color w:val="000000"/>
        </w:rPr>
        <w:t>Demonstration of flexible, modular, and reconfigurable machinery to be integrated in manufacturing pilot lines that effectively accommodate transitions between various lithium-ion chemistries/compositions and sodium-ion chemistries.</w:t>
      </w:r>
    </w:p>
    <w:p w14:paraId="5543AE28" w14:textId="77777777" w:rsidR="003C6E25" w:rsidRDefault="003C6E25" w:rsidP="003C6E25">
      <w:pPr>
        <w:pStyle w:val="ListParagraph"/>
        <w:numPr>
          <w:ilvl w:val="0"/>
          <w:numId w:val="15"/>
        </w:numPr>
        <w:contextualSpacing w:val="0"/>
      </w:pPr>
      <w:r>
        <w:rPr>
          <w:color w:val="000000"/>
        </w:rPr>
        <w:t>Development and demonstration novel mixing systems and novel electrode manufacturing techniques with advanced inline quality control</w:t>
      </w:r>
    </w:p>
    <w:p w14:paraId="207D230D" w14:textId="77777777" w:rsidR="003C6E25" w:rsidRDefault="003C6E25" w:rsidP="003C6E25">
      <w:pPr>
        <w:pStyle w:val="ListParagraph"/>
        <w:numPr>
          <w:ilvl w:val="0"/>
          <w:numId w:val="15"/>
        </w:numPr>
        <w:contextualSpacing w:val="0"/>
      </w:pPr>
      <w:r>
        <w:rPr>
          <w:color w:val="000000"/>
        </w:rPr>
        <w:t>Optimization of dry-room cell assembly processes, including the development and validation of advanced assembly equipment and techniques to significantly increase cell assembly throughput rates, reduce overall energy consumption associated with maintaining dry-room conditions, and enhance environmental controls</w:t>
      </w:r>
    </w:p>
    <w:p w14:paraId="7BB6807C" w14:textId="77777777" w:rsidR="003C6E25" w:rsidRDefault="003C6E25" w:rsidP="003C6E25">
      <w:pPr>
        <w:pStyle w:val="ListParagraph"/>
        <w:numPr>
          <w:ilvl w:val="0"/>
          <w:numId w:val="15"/>
        </w:numPr>
        <w:contextualSpacing w:val="0"/>
      </w:pPr>
      <w:r>
        <w:rPr>
          <w:color w:val="000000"/>
        </w:rPr>
        <w:t>Establishment of rapid and energy-efficient cell formation processes, significantly shortening formation and aging times compared to state of the art and enhancing quality assurance.</w:t>
      </w:r>
    </w:p>
    <w:p w14:paraId="236C224A" w14:textId="77777777" w:rsidR="003C6E25" w:rsidRDefault="003C6E25" w:rsidP="003C6E25">
      <w:pPr>
        <w:pStyle w:val="ListParagraph"/>
        <w:numPr>
          <w:ilvl w:val="0"/>
          <w:numId w:val="15"/>
        </w:numPr>
        <w:contextualSpacing w:val="0"/>
      </w:pPr>
      <w:r>
        <w:rPr>
          <w:color w:val="000000"/>
        </w:rPr>
        <w:t xml:space="preserve">Inclusion of comprehensive techno-economic assessments (TEA) and life-cycle analyses (LCA) to demonstrate clear environmental, economic, and scalability advantages over existing, state-of-the-art battery cell manufacturing practices.  </w:t>
      </w:r>
    </w:p>
    <w:p w14:paraId="066C337F" w14:textId="77777777" w:rsidR="003C6E25" w:rsidRDefault="003C6E25" w:rsidP="003C6E25">
      <w:r>
        <w:rPr>
          <w:color w:val="000000"/>
        </w:rPr>
        <w:t>The Commission initiative for Safe and Sustainable by Design</w:t>
      </w:r>
      <w:r>
        <w:rPr>
          <w:vertAlign w:val="superscript"/>
        </w:rPr>
        <w:footnoteReference w:id="13"/>
      </w:r>
      <w:r>
        <w:rPr>
          <w:color w:val="000000"/>
        </w:rPr>
        <w:t xml:space="preserve"> (</w:t>
      </w:r>
      <w:proofErr w:type="spellStart"/>
      <w:r>
        <w:rPr>
          <w:color w:val="000000"/>
        </w:rPr>
        <w:t>SSbD</w:t>
      </w:r>
      <w:proofErr w:type="spellEnd"/>
      <w:r>
        <w:rPr>
          <w:color w:val="000000"/>
        </w:rPr>
        <w:t>) sets a framework for assessing the safety and sustainability of chemicals and materials which should be considered as a reference for project proposals.</w:t>
      </w:r>
    </w:p>
    <w:p w14:paraId="000054F9" w14:textId="77777777" w:rsidR="003C6E25" w:rsidRDefault="003C6E25" w:rsidP="003C6E25">
      <w:r>
        <w:rPr>
          <w:color w:val="000000"/>
        </w:rPr>
        <w:t>Whenever the expected exploitation of project results entails developing, creating, manufacturing and marketing a product or process, or in creating and providing a service, the plan for the exploitation and dissemination of results must include a strategy for such exploitation. The exploitation plans are expected to include preliminary plans for scalability, commercialisation, and deployment (feasibility study, business plan) indicating the possible funding sources to be potentially used (in particular the Innovation Fund).</w:t>
      </w:r>
    </w:p>
    <w:p w14:paraId="27C89306" w14:textId="77777777" w:rsidR="003C6E25" w:rsidRDefault="003C6E25" w:rsidP="003C6E25">
      <w:r>
        <w:rPr>
          <w:color w:val="000000"/>
        </w:rPr>
        <w:t>Proposals could consider the involvement of the European Commission's Joint Research Centre (JRC)</w:t>
      </w:r>
      <w:r>
        <w:rPr>
          <w:vertAlign w:val="superscript"/>
        </w:rPr>
        <w:footnoteReference w:id="14"/>
      </w:r>
      <w:r>
        <w:rPr>
          <w:color w:val="000000"/>
        </w:rPr>
        <w:t xml:space="preserve"> whose contribution could consist of performing experimental or desk-top research on battery performance or safety. For further information on the JRC’s possible contribution to the projects, please, search for additional publicly available information on the JRC’s website (EU Science Hub) on the NCP portal, or request specific information from the JRC (JRC-NCP-Network@ec.europa.eu)</w:t>
      </w:r>
    </w:p>
    <w:p w14:paraId="54BD1A5B" w14:textId="77777777" w:rsidR="003C6E25" w:rsidRDefault="003C6E25" w:rsidP="003C6E25">
      <w:r>
        <w:rPr>
          <w:color w:val="000000"/>
        </w:rPr>
        <w:lastRenderedPageBreak/>
        <w:t>JRC shall assure that all the other applicants receive the same information on the JRC’s possible contribution to the project (e.g., via the topic-specific FAQs under the Funding and Tenders Portal).</w:t>
      </w:r>
    </w:p>
    <w:p w14:paraId="75A90021" w14:textId="77777777" w:rsidR="003C6E25" w:rsidRDefault="003C6E25" w:rsidP="003C6E25">
      <w:r>
        <w:rPr>
          <w:color w:val="000000"/>
        </w:rPr>
        <w:t>This topic implements the co-programmed European Partnership on Batteries (Batt4EU). As such, projects resulting from this topic will be expected to report on the results to the European Partnership on Batteries (Batt4EU) in support of the monitoring of its KPIs.</w:t>
      </w:r>
    </w:p>
    <w:p w14:paraId="6F76E17B" w14:textId="77777777" w:rsidR="003C6E25" w:rsidRDefault="003C6E25" w:rsidP="003C6E25">
      <w:pPr>
        <w:pStyle w:val="HeadingThree"/>
      </w:pPr>
      <w:bookmarkStart w:id="7" w:name="_Toc199259759"/>
      <w:r>
        <w:t>HORIZON-CL5-2027-06-Two-Stage-D2-07: Novel approaches towards next-generation battery concepts, leveraging the enabling role of innovative advanced materials (BATT4EU and IAM4EU Partnerships)</w:t>
      </w:r>
      <w:bookmarkEnd w:id="7"/>
      <w:r>
        <w:t xml:space="preserve">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073"/>
        <w:gridCol w:w="7011"/>
      </w:tblGrid>
      <w:tr w:rsidR="003C6E25" w14:paraId="433FA4CE" w14:textId="77777777" w:rsidTr="00427782">
        <w:tc>
          <w:tcPr>
            <w:tcW w:w="0" w:type="auto"/>
            <w:gridSpan w:val="2"/>
          </w:tcPr>
          <w:p w14:paraId="3EB51050" w14:textId="77777777" w:rsidR="003C6E25" w:rsidRDefault="003C6E25" w:rsidP="004B43A9">
            <w:pPr>
              <w:pStyle w:val="CellTextValue"/>
            </w:pPr>
            <w:r>
              <w:rPr>
                <w:b/>
              </w:rPr>
              <w:t>Call: Cluster 5 Call 06-2027 (2-stage) (WP2026-2027)</w:t>
            </w:r>
          </w:p>
        </w:tc>
      </w:tr>
      <w:tr w:rsidR="003C6E25" w14:paraId="1AAC8E4F" w14:textId="77777777" w:rsidTr="00427782">
        <w:tc>
          <w:tcPr>
            <w:tcW w:w="0" w:type="auto"/>
            <w:gridSpan w:val="2"/>
          </w:tcPr>
          <w:p w14:paraId="7BA24135" w14:textId="77777777" w:rsidR="003C6E25" w:rsidRDefault="003C6E25" w:rsidP="004B43A9">
            <w:pPr>
              <w:pStyle w:val="CellTextValue"/>
            </w:pPr>
            <w:r>
              <w:rPr>
                <w:b/>
              </w:rPr>
              <w:t>Specific conditions</w:t>
            </w:r>
          </w:p>
        </w:tc>
      </w:tr>
      <w:tr w:rsidR="003C6E25" w14:paraId="78F4355E" w14:textId="77777777">
        <w:tc>
          <w:tcPr>
            <w:tcW w:w="0" w:type="auto"/>
          </w:tcPr>
          <w:p w14:paraId="68DC3082" w14:textId="77777777" w:rsidR="003C6E25" w:rsidRDefault="003C6E25" w:rsidP="004B43A9">
            <w:pPr>
              <w:pStyle w:val="CellTextValue"/>
              <w:jc w:val="left"/>
            </w:pPr>
            <w:r>
              <w:rPr>
                <w:i/>
              </w:rPr>
              <w:t>Expected EU contribution per project</w:t>
            </w:r>
          </w:p>
        </w:tc>
        <w:tc>
          <w:tcPr>
            <w:tcW w:w="0" w:type="auto"/>
          </w:tcPr>
          <w:p w14:paraId="623DD3D3" w14:textId="77777777" w:rsidR="003C6E25" w:rsidRDefault="003C6E25" w:rsidP="004B43A9">
            <w:pPr>
              <w:pStyle w:val="CellTextValue"/>
            </w:pPr>
            <w:r>
              <w:t>The Commission estimates that an EU contribution of around EUR 5.00 million would allow these outcomes to be addressed appropriately. Nonetheless, this does not preclude submission and selection of a proposal requesting different amounts.</w:t>
            </w:r>
          </w:p>
        </w:tc>
      </w:tr>
      <w:tr w:rsidR="003C6E25" w14:paraId="0B778404" w14:textId="77777777">
        <w:tc>
          <w:tcPr>
            <w:tcW w:w="0" w:type="auto"/>
          </w:tcPr>
          <w:p w14:paraId="4BB050AF" w14:textId="77777777" w:rsidR="003C6E25" w:rsidRDefault="003C6E25" w:rsidP="004B43A9">
            <w:pPr>
              <w:pStyle w:val="CellTextValue"/>
              <w:jc w:val="left"/>
            </w:pPr>
            <w:r>
              <w:rPr>
                <w:i/>
              </w:rPr>
              <w:t>Indicative budget</w:t>
            </w:r>
          </w:p>
        </w:tc>
        <w:tc>
          <w:tcPr>
            <w:tcW w:w="0" w:type="auto"/>
          </w:tcPr>
          <w:p w14:paraId="46141507" w14:textId="77777777" w:rsidR="003C6E25" w:rsidRDefault="003C6E25" w:rsidP="004B43A9">
            <w:pPr>
              <w:pStyle w:val="CellTextValue"/>
            </w:pPr>
            <w:r>
              <w:t>The total indicative budget for the topic is EUR 50.00 million.</w:t>
            </w:r>
          </w:p>
        </w:tc>
      </w:tr>
      <w:tr w:rsidR="003C6E25" w14:paraId="0AA35765" w14:textId="77777777">
        <w:tc>
          <w:tcPr>
            <w:tcW w:w="0" w:type="auto"/>
          </w:tcPr>
          <w:p w14:paraId="03103219" w14:textId="77777777" w:rsidR="003C6E25" w:rsidRDefault="003C6E25" w:rsidP="004B43A9">
            <w:pPr>
              <w:pStyle w:val="CellTextValue"/>
              <w:jc w:val="left"/>
            </w:pPr>
            <w:r>
              <w:rPr>
                <w:i/>
              </w:rPr>
              <w:t>Type of Action</w:t>
            </w:r>
          </w:p>
        </w:tc>
        <w:tc>
          <w:tcPr>
            <w:tcW w:w="0" w:type="auto"/>
          </w:tcPr>
          <w:p w14:paraId="1F5E95BE" w14:textId="77777777" w:rsidR="003C6E25" w:rsidRDefault="003C6E25" w:rsidP="004B43A9">
            <w:pPr>
              <w:pStyle w:val="CellTextValue"/>
            </w:pPr>
            <w:r>
              <w:rPr>
                <w:color w:val="000000"/>
              </w:rPr>
              <w:t>Research and Innovation Actions</w:t>
            </w:r>
          </w:p>
        </w:tc>
      </w:tr>
      <w:tr w:rsidR="003C6E25" w14:paraId="18145A63" w14:textId="77777777">
        <w:tc>
          <w:tcPr>
            <w:tcW w:w="0" w:type="auto"/>
          </w:tcPr>
          <w:p w14:paraId="375C7F1B" w14:textId="77777777" w:rsidR="003C6E25" w:rsidRDefault="003C6E25" w:rsidP="004B43A9">
            <w:pPr>
              <w:pStyle w:val="CellTextValue"/>
              <w:jc w:val="left"/>
            </w:pPr>
            <w:r>
              <w:rPr>
                <w:i/>
              </w:rPr>
              <w:t>Eligibility conditions</w:t>
            </w:r>
          </w:p>
        </w:tc>
        <w:tc>
          <w:tcPr>
            <w:tcW w:w="0" w:type="auto"/>
          </w:tcPr>
          <w:p w14:paraId="7284F83C" w14:textId="77777777" w:rsidR="003C6E25" w:rsidRDefault="003C6E25" w:rsidP="004B43A9">
            <w:pPr>
              <w:pStyle w:val="CellTextValue"/>
            </w:pPr>
            <w:r>
              <w:rPr>
                <w:color w:val="000000"/>
              </w:rPr>
              <w:t>The conditions are described in General Annex B. The following exceptions apply:</w:t>
            </w:r>
          </w:p>
          <w:p w14:paraId="7234164C" w14:textId="77777777" w:rsidR="003C6E25" w:rsidRDefault="003C6E25" w:rsidP="004B43A9">
            <w:pPr>
              <w:pStyle w:val="CellTextValue"/>
            </w:pPr>
            <w:r>
              <w:rPr>
                <w:color w:val="000000"/>
              </w:rPr>
              <w:t>If projects use satellite-based earth observation, positioning, navigation and/or related timing data and services, beneficiaries must make use of Copernicus and/or Galileo/EGNOS (other data and services may additionally be used).</w:t>
            </w:r>
          </w:p>
          <w:p w14:paraId="53484F3B" w14:textId="77777777" w:rsidR="003C6E25" w:rsidRDefault="003C6E25" w:rsidP="004B43A9">
            <w:pPr>
              <w:pStyle w:val="CellTextValue"/>
            </w:pPr>
            <w:r>
              <w:rPr>
                <w:color w:val="000000"/>
              </w:rPr>
              <w:t>The Joint Research Centre (JRC) may participate as member of the consortium selected for funding.</w:t>
            </w:r>
          </w:p>
        </w:tc>
      </w:tr>
      <w:tr w:rsidR="003C6E25" w14:paraId="77428633" w14:textId="77777777">
        <w:tc>
          <w:tcPr>
            <w:tcW w:w="0" w:type="auto"/>
          </w:tcPr>
          <w:p w14:paraId="5FDC342C" w14:textId="77777777" w:rsidR="003C6E25" w:rsidRDefault="003C6E25" w:rsidP="004B43A9">
            <w:pPr>
              <w:pStyle w:val="CellTextValue"/>
              <w:jc w:val="left"/>
            </w:pPr>
            <w:r>
              <w:rPr>
                <w:i/>
              </w:rPr>
              <w:t>Technology Readiness Level</w:t>
            </w:r>
          </w:p>
        </w:tc>
        <w:tc>
          <w:tcPr>
            <w:tcW w:w="0" w:type="auto"/>
          </w:tcPr>
          <w:p w14:paraId="1DCA5C45" w14:textId="77777777" w:rsidR="003C6E25" w:rsidRDefault="003C6E25" w:rsidP="004B43A9">
            <w:pPr>
              <w:pStyle w:val="CellTextValue"/>
            </w:pPr>
            <w:r>
              <w:rPr>
                <w:color w:val="000000"/>
              </w:rPr>
              <w:t>Activities are expected to achieve TRL 4-5 by the end of the project – see General Annex B. Activities may start at any TRL.</w:t>
            </w:r>
          </w:p>
        </w:tc>
      </w:tr>
      <w:tr w:rsidR="003C6E25" w14:paraId="31BF4131" w14:textId="77777777">
        <w:tc>
          <w:tcPr>
            <w:tcW w:w="0" w:type="auto"/>
          </w:tcPr>
          <w:p w14:paraId="4E234923" w14:textId="77777777" w:rsidR="003C6E25" w:rsidRDefault="003C6E25" w:rsidP="004B43A9">
            <w:pPr>
              <w:pStyle w:val="CellTextValue"/>
              <w:jc w:val="left"/>
            </w:pPr>
            <w:r>
              <w:rPr>
                <w:i/>
              </w:rPr>
              <w:t>Procedure</w:t>
            </w:r>
          </w:p>
        </w:tc>
        <w:tc>
          <w:tcPr>
            <w:tcW w:w="0" w:type="auto"/>
          </w:tcPr>
          <w:p w14:paraId="3AB9B23C" w14:textId="77777777" w:rsidR="003C6E25" w:rsidRDefault="003C6E25" w:rsidP="004B43A9">
            <w:pPr>
              <w:pStyle w:val="CellTextValue"/>
            </w:pPr>
            <w:r>
              <w:rPr>
                <w:color w:val="000000"/>
              </w:rPr>
              <w:t>The procedure is described in General Annex F. The following exceptions apply:</w:t>
            </w:r>
          </w:p>
          <w:p w14:paraId="00F77E91" w14:textId="77777777" w:rsidR="003C6E25" w:rsidRDefault="003C6E25" w:rsidP="004B43A9">
            <w:pPr>
              <w:pStyle w:val="CellTextValue"/>
            </w:pPr>
            <w:r>
              <w:rPr>
                <w:color w:val="000000"/>
              </w:rPr>
              <w:t>To ensure a balanced portfolio, grants will be awarded to proposals according to the ranking list. However, in order to ensure a balanced portfolio of supported actions, at least the two highest-ranked proposal for each area will be funded provided that they attain all thresholds.</w:t>
            </w:r>
          </w:p>
        </w:tc>
      </w:tr>
      <w:tr w:rsidR="003C6E25" w14:paraId="0C5473F7" w14:textId="77777777">
        <w:tc>
          <w:tcPr>
            <w:tcW w:w="0" w:type="auto"/>
          </w:tcPr>
          <w:p w14:paraId="1134B757" w14:textId="77777777" w:rsidR="003C6E25" w:rsidRDefault="003C6E25" w:rsidP="004B43A9">
            <w:pPr>
              <w:pStyle w:val="CellTextValue"/>
              <w:jc w:val="left"/>
            </w:pPr>
            <w:r>
              <w:rPr>
                <w:i/>
              </w:rPr>
              <w:t xml:space="preserve">Legal and financial set-up of </w:t>
            </w:r>
            <w:r>
              <w:rPr>
                <w:i/>
              </w:rPr>
              <w:lastRenderedPageBreak/>
              <w:t>the Grant Agreements</w:t>
            </w:r>
          </w:p>
        </w:tc>
        <w:tc>
          <w:tcPr>
            <w:tcW w:w="0" w:type="auto"/>
          </w:tcPr>
          <w:p w14:paraId="2E6A4EF9" w14:textId="77777777" w:rsidR="003C6E25" w:rsidRDefault="003C6E25" w:rsidP="004B43A9">
            <w:pPr>
              <w:pStyle w:val="CellTextValue"/>
            </w:pPr>
            <w:r>
              <w:rPr>
                <w:color w:val="000000"/>
              </w:rPr>
              <w:lastRenderedPageBreak/>
              <w:t>The rules are described in General Annex G. The following exceptions apply:</w:t>
            </w:r>
          </w:p>
          <w:p w14:paraId="3F6477CB" w14:textId="77777777" w:rsidR="003C6E25" w:rsidRDefault="003C6E25" w:rsidP="004B43A9">
            <w:pPr>
              <w:pStyle w:val="CellTextValue"/>
            </w:pPr>
            <w:r>
              <w:rPr>
                <w:color w:val="000000"/>
              </w:rPr>
              <w:lastRenderedPageBreak/>
              <w:t xml:space="preserve">Eligible costs will take the form of a lump sum as defined in the Decision of 7 July 2021 authorising the use of lump sum contributions under the Horizon Europe Programme – the Framework Programme for Research and Innovation (2021-2027) – and in actions under the Research and Training Programme of the European Atomic Energy Community (2021-2025) </w:t>
            </w:r>
            <w:r>
              <w:rPr>
                <w:vertAlign w:val="superscript"/>
              </w:rPr>
              <w:footnoteReference w:id="15"/>
            </w:r>
            <w:r>
              <w:rPr>
                <w:color w:val="000000"/>
              </w:rPr>
              <w:t>.</w:t>
            </w:r>
          </w:p>
        </w:tc>
      </w:tr>
    </w:tbl>
    <w:p w14:paraId="1EF171FF" w14:textId="77777777" w:rsidR="003C6E25" w:rsidRDefault="003C6E25" w:rsidP="003C6E25">
      <w:pPr>
        <w:spacing w:after="0" w:line="150" w:lineRule="auto"/>
      </w:pPr>
    </w:p>
    <w:p w14:paraId="2FAEFE02" w14:textId="77777777" w:rsidR="003C6E25" w:rsidRDefault="003C6E25" w:rsidP="003C6E25">
      <w:r>
        <w:rPr>
          <w:u w:val="single"/>
        </w:rPr>
        <w:t>Expected Outcome</w:t>
      </w:r>
      <w:r>
        <w:t xml:space="preserve">: </w:t>
      </w:r>
      <w:r>
        <w:rPr>
          <w:color w:val="000000"/>
        </w:rPr>
        <w:t>Proposals are expected to contribute to the generation of innovative battery concepts to safeguard future European competitiveness through innovative battery advanced materials and technologies contributing to green energy usage through enhanced energy storage and management capabilities.</w:t>
      </w:r>
    </w:p>
    <w:p w14:paraId="6753594F" w14:textId="77777777" w:rsidR="003C6E25" w:rsidRDefault="003C6E25" w:rsidP="003C6E25">
      <w:r>
        <w:rPr>
          <w:color w:val="000000"/>
        </w:rPr>
        <w:t>Depending on the areas listed in the scope, proposals are expected to cover all the respective bullet points:</w:t>
      </w:r>
    </w:p>
    <w:p w14:paraId="03960997" w14:textId="77777777" w:rsidR="003C6E25" w:rsidRDefault="003C6E25" w:rsidP="003C6E25">
      <w:pPr>
        <w:pStyle w:val="ListParagraph"/>
        <w:numPr>
          <w:ilvl w:val="0"/>
          <w:numId w:val="16"/>
        </w:numPr>
        <w:contextualSpacing w:val="0"/>
      </w:pPr>
      <w:r>
        <w:rPr>
          <w:color w:val="000000"/>
        </w:rPr>
        <w:t>Area A: Development and validation of low-cost battery chemistries particularly suited for electric mobility supporting a reliable and flexible energy flow to meet fluctuating demand by enabling better integration of diverse energy sources.</w:t>
      </w:r>
    </w:p>
    <w:p w14:paraId="2DFA89D3" w14:textId="77777777" w:rsidR="003C6E25" w:rsidRDefault="003C6E25" w:rsidP="003C6E25">
      <w:pPr>
        <w:pStyle w:val="ListParagraph"/>
        <w:numPr>
          <w:ilvl w:val="0"/>
          <w:numId w:val="16"/>
        </w:numPr>
        <w:contextualSpacing w:val="0"/>
      </w:pPr>
      <w:r>
        <w:rPr>
          <w:color w:val="000000"/>
        </w:rPr>
        <w:t>Proposals are expected to provide the state-of-the-art benchmark for the performance of Design-to-Performance lithium-ion batteries</w:t>
      </w:r>
      <w:r>
        <w:rPr>
          <w:vertAlign w:val="superscript"/>
        </w:rPr>
        <w:footnoteReference w:id="16"/>
      </w:r>
      <w:r>
        <w:rPr>
          <w:color w:val="000000"/>
        </w:rPr>
        <w:t xml:space="preserve"> and sodium-ion batteries and compare the project’s improvements of performance targets to said benchmark. </w:t>
      </w:r>
    </w:p>
    <w:p w14:paraId="7F861E51" w14:textId="77777777" w:rsidR="003C6E25" w:rsidRDefault="003C6E25" w:rsidP="003C6E25">
      <w:pPr>
        <w:pStyle w:val="ListParagraph"/>
        <w:numPr>
          <w:ilvl w:val="0"/>
          <w:numId w:val="16"/>
        </w:numPr>
        <w:contextualSpacing w:val="0"/>
      </w:pPr>
      <w:r>
        <w:rPr>
          <w:color w:val="000000"/>
        </w:rPr>
        <w:t xml:space="preserve">Main component (active and main inactive materials) cost of below €35 per kWh </w:t>
      </w:r>
    </w:p>
    <w:p w14:paraId="5746123E" w14:textId="77777777" w:rsidR="003C6E25" w:rsidRDefault="003C6E25" w:rsidP="003C6E25">
      <w:r>
        <w:rPr>
          <w:color w:val="000000"/>
        </w:rPr>
        <w:t>OR</w:t>
      </w:r>
    </w:p>
    <w:p w14:paraId="3636C870" w14:textId="77777777" w:rsidR="003C6E25" w:rsidRDefault="003C6E25" w:rsidP="003C6E25">
      <w:pPr>
        <w:pStyle w:val="ListParagraph"/>
        <w:numPr>
          <w:ilvl w:val="0"/>
          <w:numId w:val="17"/>
        </w:numPr>
        <w:contextualSpacing w:val="0"/>
      </w:pPr>
      <w:r>
        <w:rPr>
          <w:color w:val="000000"/>
        </w:rPr>
        <w:t>Area B: Development of high-performance battery, particularly suited for aviation and high-performance mobility boosting green energy adoption by leveraging advanced energy carriers and storage solutions to support demanding applications.</w:t>
      </w:r>
    </w:p>
    <w:p w14:paraId="6EB44A73" w14:textId="77777777" w:rsidR="003C6E25" w:rsidRDefault="003C6E25" w:rsidP="003C6E25">
      <w:pPr>
        <w:pStyle w:val="ListParagraph"/>
        <w:numPr>
          <w:ilvl w:val="0"/>
          <w:numId w:val="17"/>
        </w:numPr>
        <w:contextualSpacing w:val="0"/>
      </w:pPr>
      <w:r>
        <w:rPr>
          <w:color w:val="000000"/>
        </w:rPr>
        <w:t xml:space="preserve">Validation of advanced battery concepts achieving energy density exceeding 500 Wh/kg and/or Power density exceeding the state-of-the-art benchmark based on the selected application(s). </w:t>
      </w:r>
    </w:p>
    <w:p w14:paraId="15990ED9" w14:textId="77777777" w:rsidR="003C6E25" w:rsidRDefault="003C6E25" w:rsidP="003C6E25">
      <w:r>
        <w:rPr>
          <w:color w:val="000000"/>
        </w:rPr>
        <w:t>OR</w:t>
      </w:r>
    </w:p>
    <w:p w14:paraId="2BDB520E" w14:textId="77777777" w:rsidR="003C6E25" w:rsidRDefault="003C6E25" w:rsidP="003C6E25">
      <w:pPr>
        <w:pStyle w:val="ListParagraph"/>
        <w:numPr>
          <w:ilvl w:val="0"/>
          <w:numId w:val="18"/>
        </w:numPr>
        <w:contextualSpacing w:val="0"/>
      </w:pPr>
      <w:r>
        <w:rPr>
          <w:color w:val="000000"/>
        </w:rPr>
        <w:t xml:space="preserve">Area C: Development of durable and reliable battery advanced materials and cell-level concepts specifically suited to stationary storage for either grid and/or energy-intensive industry applications. </w:t>
      </w:r>
    </w:p>
    <w:p w14:paraId="17E7B7E8" w14:textId="77777777" w:rsidR="003C6E25" w:rsidRDefault="003C6E25" w:rsidP="003C6E25">
      <w:r>
        <w:rPr>
          <w:u w:val="single"/>
        </w:rPr>
        <w:lastRenderedPageBreak/>
        <w:t>Scope</w:t>
      </w:r>
      <w:r>
        <w:t xml:space="preserve">: </w:t>
      </w:r>
      <w:r>
        <w:rPr>
          <w:color w:val="000000"/>
        </w:rPr>
        <w:t>Projects are expected to contribute to one of the following battery concepts that meet different end-user needs and applications, going beyond state-of-the-art:</w:t>
      </w:r>
    </w:p>
    <w:p w14:paraId="2F870A70" w14:textId="77777777" w:rsidR="003C6E25" w:rsidRDefault="003C6E25" w:rsidP="003C6E25">
      <w:r>
        <w:rPr>
          <w:color w:val="000000"/>
        </w:rPr>
        <w:t>Area A: Low-cost batteries designed primarily for passenger electric vehicles and/or stationary storage:</w:t>
      </w:r>
    </w:p>
    <w:p w14:paraId="6AA82547" w14:textId="77777777" w:rsidR="003C6E25" w:rsidRDefault="003C6E25" w:rsidP="003C6E25">
      <w:pPr>
        <w:pStyle w:val="ListParagraph"/>
        <w:numPr>
          <w:ilvl w:val="0"/>
          <w:numId w:val="19"/>
        </w:numPr>
        <w:contextualSpacing w:val="0"/>
      </w:pPr>
      <w:r>
        <w:rPr>
          <w:color w:val="000000"/>
        </w:rPr>
        <w:t xml:space="preserve">Development of battery chemistries utilizing minimised amount of Critical Raw Materials </w:t>
      </w:r>
    </w:p>
    <w:p w14:paraId="4FAB16A5" w14:textId="77777777" w:rsidR="003C6E25" w:rsidRDefault="003C6E25" w:rsidP="003C6E25">
      <w:pPr>
        <w:pStyle w:val="ListParagraph"/>
        <w:numPr>
          <w:ilvl w:val="0"/>
          <w:numId w:val="19"/>
        </w:numPr>
        <w:contextualSpacing w:val="0"/>
      </w:pPr>
      <w:r>
        <w:rPr>
          <w:color w:val="000000"/>
        </w:rPr>
        <w:t xml:space="preserve">Smart functionalities, as well as lightweight, functionalised and/or simplified casing or cooling concepts etc will add value to the proposals.  </w:t>
      </w:r>
    </w:p>
    <w:p w14:paraId="71908976" w14:textId="77777777" w:rsidR="003C6E25" w:rsidRDefault="003C6E25" w:rsidP="003C6E25">
      <w:r>
        <w:rPr>
          <w:color w:val="000000"/>
        </w:rPr>
        <w:t>OR</w:t>
      </w:r>
    </w:p>
    <w:p w14:paraId="50F665AF" w14:textId="77777777" w:rsidR="003C6E25" w:rsidRDefault="003C6E25" w:rsidP="003C6E25">
      <w:r>
        <w:rPr>
          <w:color w:val="000000"/>
        </w:rPr>
        <w:t>Area B: High-performance battery chemistries intended for applications requiring superior energy density, power density, and safety standards, such as aviation and maritime sectors:</w:t>
      </w:r>
    </w:p>
    <w:p w14:paraId="17A7C11F" w14:textId="77777777" w:rsidR="003C6E25" w:rsidRDefault="003C6E25" w:rsidP="003C6E25">
      <w:pPr>
        <w:pStyle w:val="ListParagraph"/>
        <w:numPr>
          <w:ilvl w:val="0"/>
          <w:numId w:val="20"/>
        </w:numPr>
        <w:contextualSpacing w:val="0"/>
      </w:pPr>
      <w:r>
        <w:rPr>
          <w:color w:val="000000"/>
        </w:rPr>
        <w:t xml:space="preserve">Innovative approaches to battery structural integration and multifunctional materials to significantly boost gravimetric and volumetric performance.  </w:t>
      </w:r>
    </w:p>
    <w:p w14:paraId="19A86DDF" w14:textId="77777777" w:rsidR="003C6E25" w:rsidRDefault="003C6E25" w:rsidP="003C6E25">
      <w:r>
        <w:rPr>
          <w:color w:val="000000"/>
        </w:rPr>
        <w:t>OR</w:t>
      </w:r>
    </w:p>
    <w:p w14:paraId="6D8BD2E9" w14:textId="77777777" w:rsidR="003C6E25" w:rsidRDefault="003C6E25" w:rsidP="003C6E25">
      <w:r>
        <w:rPr>
          <w:color w:val="000000"/>
        </w:rPr>
        <w:t>Area C: Novel battery advanced materials and cell-level concepts, for stationary energy storage for grid storage and/or energy-intensive industrial applications:</w:t>
      </w:r>
    </w:p>
    <w:p w14:paraId="282718C0" w14:textId="77777777" w:rsidR="003C6E25" w:rsidRDefault="003C6E25" w:rsidP="003C6E25">
      <w:pPr>
        <w:pStyle w:val="ListParagraph"/>
        <w:numPr>
          <w:ilvl w:val="0"/>
          <w:numId w:val="21"/>
        </w:numPr>
        <w:contextualSpacing w:val="0"/>
      </w:pPr>
      <w:r>
        <w:rPr>
          <w:color w:val="000000"/>
        </w:rPr>
        <w:t>If applied for grid storage, solutions should demonstrate potential for cost-effective integration at system level (targeting system-level cost below €50/kWh) and provide support for multi-hour storage durations to enhance renewable energy uptake and grid flexibility.</w:t>
      </w:r>
    </w:p>
    <w:p w14:paraId="7EED4AFF" w14:textId="77777777" w:rsidR="003C6E25" w:rsidRDefault="003C6E25" w:rsidP="003C6E25">
      <w:pPr>
        <w:pStyle w:val="ListParagraph"/>
        <w:numPr>
          <w:ilvl w:val="0"/>
          <w:numId w:val="21"/>
        </w:numPr>
        <w:contextualSpacing w:val="0"/>
      </w:pPr>
      <w:r>
        <w:rPr>
          <w:color w:val="000000"/>
        </w:rPr>
        <w:t xml:space="preserve">If applied for energy-intensive industrial applications, battery materials and designs should address continuous high-load operation, cycling under harsh conditions, and reliability over long operational periods, contributing to the electrification and decarbonisation of specific industrial processes under study. </w:t>
      </w:r>
    </w:p>
    <w:p w14:paraId="70632340" w14:textId="77777777" w:rsidR="003C6E25" w:rsidRDefault="003C6E25" w:rsidP="003C6E25">
      <w:r>
        <w:rPr>
          <w:color w:val="000000"/>
        </w:rPr>
        <w:t>All projects are expected to provide an assessment on all following aspects:</w:t>
      </w:r>
    </w:p>
    <w:p w14:paraId="264C4FF4" w14:textId="77777777" w:rsidR="003C6E25" w:rsidRDefault="003C6E25" w:rsidP="003C6E25">
      <w:pPr>
        <w:pStyle w:val="ListParagraph"/>
        <w:numPr>
          <w:ilvl w:val="0"/>
          <w:numId w:val="22"/>
        </w:numPr>
        <w:contextualSpacing w:val="0"/>
      </w:pPr>
      <w:r>
        <w:rPr>
          <w:color w:val="000000"/>
        </w:rPr>
        <w:t>Scalability potential, manufacturability, and market relevance.</w:t>
      </w:r>
    </w:p>
    <w:p w14:paraId="58A4074D" w14:textId="77777777" w:rsidR="003C6E25" w:rsidRDefault="003C6E25" w:rsidP="003C6E25">
      <w:pPr>
        <w:pStyle w:val="ListParagraph"/>
        <w:numPr>
          <w:ilvl w:val="0"/>
          <w:numId w:val="22"/>
        </w:numPr>
        <w:contextualSpacing w:val="0"/>
      </w:pPr>
      <w:r>
        <w:rPr>
          <w:color w:val="000000"/>
        </w:rPr>
        <w:t>Solutions for extended cycle life, cost-efficient recyclability, and sustainability by design (implementing Safe and Sustainable by Design principles)</w:t>
      </w:r>
    </w:p>
    <w:p w14:paraId="27B8EFA3" w14:textId="77777777" w:rsidR="003C6E25" w:rsidRDefault="003C6E25" w:rsidP="003C6E25">
      <w:pPr>
        <w:pStyle w:val="ListParagraph"/>
        <w:numPr>
          <w:ilvl w:val="0"/>
          <w:numId w:val="22"/>
        </w:numPr>
        <w:contextualSpacing w:val="0"/>
      </w:pPr>
      <w:r>
        <w:rPr>
          <w:color w:val="000000"/>
        </w:rPr>
        <w:t xml:space="preserve">Solutions for enhanced safety, thermal management, performance monitoring, and predictive diagnostics.  </w:t>
      </w:r>
    </w:p>
    <w:p w14:paraId="7CCE11CF" w14:textId="77777777" w:rsidR="003C6E25" w:rsidRDefault="003C6E25" w:rsidP="003C6E25">
      <w:r>
        <w:rPr>
          <w:color w:val="000000"/>
        </w:rPr>
        <w:lastRenderedPageBreak/>
        <w:t>The Safe and Sustainable by Design</w:t>
      </w:r>
      <w:r>
        <w:rPr>
          <w:vertAlign w:val="superscript"/>
        </w:rPr>
        <w:footnoteReference w:id="17"/>
      </w:r>
      <w:r>
        <w:rPr>
          <w:color w:val="000000"/>
        </w:rPr>
        <w:t xml:space="preserve"> (</w:t>
      </w:r>
      <w:proofErr w:type="spellStart"/>
      <w:r>
        <w:rPr>
          <w:color w:val="000000"/>
        </w:rPr>
        <w:t>SSbD</w:t>
      </w:r>
      <w:proofErr w:type="spellEnd"/>
      <w:r>
        <w:rPr>
          <w:color w:val="000000"/>
        </w:rPr>
        <w:t>) framework should be considered as a reference for project proposals to guide the innovation process towards safer and more sustainable chemicals and advanced materials.</w:t>
      </w:r>
    </w:p>
    <w:p w14:paraId="088E2AFD" w14:textId="77777777" w:rsidR="003C6E25" w:rsidRDefault="003C6E25" w:rsidP="003C6E25">
      <w:r>
        <w:rPr>
          <w:color w:val="000000"/>
        </w:rPr>
        <w:t>Proposals could consider the involvement of the European Commission's Joint Research Centre (JRC)</w:t>
      </w:r>
      <w:r>
        <w:rPr>
          <w:vertAlign w:val="superscript"/>
        </w:rPr>
        <w:footnoteReference w:id="18"/>
      </w:r>
      <w:r>
        <w:rPr>
          <w:color w:val="000000"/>
        </w:rPr>
        <w:t xml:space="preserve"> whose contribution could consist of performing experimental or desk-top research on battery performance or safety. For further information on the JRC’s possible contribution to the projects, please, search for additional publicly available information on the JRC’s website (EU Science Hub) on the NCP portal, or request specific information from the JRC (JRC-NCP-Network@ec.europa.eu)</w:t>
      </w:r>
    </w:p>
    <w:p w14:paraId="5113D7E4" w14:textId="77777777" w:rsidR="003C6E25" w:rsidRDefault="003C6E25" w:rsidP="003C6E25">
      <w:r>
        <w:rPr>
          <w:color w:val="000000"/>
        </w:rPr>
        <w:t>JRC shall assure that all the other applicants receive the same information on the JRC’s possible contribution to the project (e.g., via the topic-specific FAQs under the Funding and Tenders Portal).</w:t>
      </w:r>
    </w:p>
    <w:p w14:paraId="014E3793" w14:textId="77777777" w:rsidR="003C6E25" w:rsidRDefault="003C6E25" w:rsidP="003C6E25">
      <w:r>
        <w:rPr>
          <w:color w:val="000000"/>
        </w:rPr>
        <w:t>This topic implements the co-programmed European Partnership on Batteries (Batt4EU) and the co-programmed Partnership Innovative Advanced Materials for the EU (IAM4EU). As such, projects resulting from this topic will be expected to report on the results to the European Partnership on Batteries (Batt4EU) and IAM4EUin support of the monitoring of its KPIs.</w:t>
      </w:r>
    </w:p>
    <w:p w14:paraId="30B6AB8A" w14:textId="77777777" w:rsidR="003C6E25" w:rsidRDefault="003C6E25" w:rsidP="003C6E25">
      <w:r>
        <w:rPr>
          <w:color w:val="000000"/>
        </w:rPr>
        <w:t>This topic contributes to the industrial action plan for the automotive sector.</w:t>
      </w:r>
    </w:p>
    <w:p w14:paraId="6ADF9C42" w14:textId="77777777" w:rsidR="003C6E25" w:rsidRDefault="003C6E25" w:rsidP="003C6E25">
      <w:pPr>
        <w:pStyle w:val="HeadingThree"/>
      </w:pPr>
      <w:bookmarkStart w:id="8" w:name="_Toc199259760"/>
      <w:r>
        <w:t>HORIZON-CL5-2027-07-D2-08: Demonstration for Long-duration Battery Energy Storage Systems (BATT4EU Partnership)</w:t>
      </w:r>
      <w:bookmarkEnd w:id="8"/>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001"/>
        <w:gridCol w:w="7083"/>
      </w:tblGrid>
      <w:tr w:rsidR="003C6E25" w14:paraId="36DF9146" w14:textId="77777777" w:rsidTr="00427782">
        <w:tc>
          <w:tcPr>
            <w:tcW w:w="0" w:type="auto"/>
            <w:gridSpan w:val="2"/>
          </w:tcPr>
          <w:p w14:paraId="1F7A6E20" w14:textId="77777777" w:rsidR="003C6E25" w:rsidRDefault="003C6E25" w:rsidP="004B43A9">
            <w:pPr>
              <w:pStyle w:val="CellTextValue"/>
            </w:pPr>
            <w:r>
              <w:rPr>
                <w:b/>
              </w:rPr>
              <w:t>Call: Cluster 5 Call 07-2027 (WP2026-2027)</w:t>
            </w:r>
          </w:p>
        </w:tc>
      </w:tr>
      <w:tr w:rsidR="003C6E25" w14:paraId="3C8D372E" w14:textId="77777777" w:rsidTr="00427782">
        <w:tc>
          <w:tcPr>
            <w:tcW w:w="0" w:type="auto"/>
            <w:gridSpan w:val="2"/>
          </w:tcPr>
          <w:p w14:paraId="39D5077E" w14:textId="77777777" w:rsidR="003C6E25" w:rsidRDefault="003C6E25" w:rsidP="004B43A9">
            <w:pPr>
              <w:pStyle w:val="CellTextValue"/>
            </w:pPr>
            <w:r>
              <w:rPr>
                <w:b/>
              </w:rPr>
              <w:t>Specific conditions</w:t>
            </w:r>
          </w:p>
        </w:tc>
      </w:tr>
      <w:tr w:rsidR="003C6E25" w14:paraId="4C18BAE5" w14:textId="77777777">
        <w:tc>
          <w:tcPr>
            <w:tcW w:w="0" w:type="auto"/>
          </w:tcPr>
          <w:p w14:paraId="108AA15A" w14:textId="77777777" w:rsidR="003C6E25" w:rsidRDefault="003C6E25" w:rsidP="004B43A9">
            <w:pPr>
              <w:pStyle w:val="CellTextValue"/>
              <w:jc w:val="left"/>
            </w:pPr>
            <w:r>
              <w:rPr>
                <w:i/>
              </w:rPr>
              <w:t>Expected EU contribution per project</w:t>
            </w:r>
          </w:p>
        </w:tc>
        <w:tc>
          <w:tcPr>
            <w:tcW w:w="0" w:type="auto"/>
          </w:tcPr>
          <w:p w14:paraId="315CB1AB" w14:textId="77777777" w:rsidR="003C6E25" w:rsidRDefault="003C6E25" w:rsidP="004B43A9">
            <w:pPr>
              <w:pStyle w:val="CellTextValue"/>
            </w:pPr>
            <w:r>
              <w:t>The Commission estimates that an EU contribution of around EUR 10.00 million would allow these outcomes to be addressed appropriately. Nonetheless, this does not preclude submission and selection of a proposal requesting different amounts.</w:t>
            </w:r>
          </w:p>
        </w:tc>
      </w:tr>
      <w:tr w:rsidR="003C6E25" w14:paraId="1FDCDDC3" w14:textId="77777777">
        <w:tc>
          <w:tcPr>
            <w:tcW w:w="0" w:type="auto"/>
          </w:tcPr>
          <w:p w14:paraId="6BC6D1DC" w14:textId="77777777" w:rsidR="003C6E25" w:rsidRDefault="003C6E25" w:rsidP="004B43A9">
            <w:pPr>
              <w:pStyle w:val="CellTextValue"/>
              <w:jc w:val="left"/>
            </w:pPr>
            <w:r>
              <w:rPr>
                <w:i/>
              </w:rPr>
              <w:t>Indicative budget</w:t>
            </w:r>
          </w:p>
        </w:tc>
        <w:tc>
          <w:tcPr>
            <w:tcW w:w="0" w:type="auto"/>
          </w:tcPr>
          <w:p w14:paraId="456DC9A0" w14:textId="77777777" w:rsidR="003C6E25" w:rsidRDefault="003C6E25" w:rsidP="004B43A9">
            <w:pPr>
              <w:pStyle w:val="CellTextValue"/>
            </w:pPr>
            <w:r>
              <w:t>The total indicative budget for the topic is EUR 20.00 million.</w:t>
            </w:r>
          </w:p>
        </w:tc>
      </w:tr>
      <w:tr w:rsidR="003C6E25" w14:paraId="39A77D7A" w14:textId="77777777">
        <w:tc>
          <w:tcPr>
            <w:tcW w:w="0" w:type="auto"/>
          </w:tcPr>
          <w:p w14:paraId="7734451F" w14:textId="77777777" w:rsidR="003C6E25" w:rsidRDefault="003C6E25" w:rsidP="004B43A9">
            <w:pPr>
              <w:pStyle w:val="CellTextValue"/>
              <w:jc w:val="left"/>
            </w:pPr>
            <w:r>
              <w:rPr>
                <w:i/>
              </w:rPr>
              <w:t>Type of Action</w:t>
            </w:r>
          </w:p>
        </w:tc>
        <w:tc>
          <w:tcPr>
            <w:tcW w:w="0" w:type="auto"/>
          </w:tcPr>
          <w:p w14:paraId="2B4CBAD0" w14:textId="77777777" w:rsidR="003C6E25" w:rsidRDefault="003C6E25" w:rsidP="004B43A9">
            <w:pPr>
              <w:pStyle w:val="CellTextValue"/>
            </w:pPr>
            <w:r>
              <w:rPr>
                <w:color w:val="000000"/>
              </w:rPr>
              <w:t>Innovation Actions</w:t>
            </w:r>
          </w:p>
        </w:tc>
      </w:tr>
      <w:tr w:rsidR="003C6E25" w14:paraId="057E55BC" w14:textId="77777777">
        <w:tc>
          <w:tcPr>
            <w:tcW w:w="0" w:type="auto"/>
          </w:tcPr>
          <w:p w14:paraId="698588D6" w14:textId="77777777" w:rsidR="003C6E25" w:rsidRDefault="003C6E25" w:rsidP="004B43A9">
            <w:pPr>
              <w:pStyle w:val="CellTextValue"/>
              <w:jc w:val="left"/>
            </w:pPr>
            <w:r>
              <w:rPr>
                <w:i/>
              </w:rPr>
              <w:t>Eligibility conditions</w:t>
            </w:r>
          </w:p>
        </w:tc>
        <w:tc>
          <w:tcPr>
            <w:tcW w:w="0" w:type="auto"/>
          </w:tcPr>
          <w:p w14:paraId="42DF5993" w14:textId="77777777" w:rsidR="003C6E25" w:rsidRDefault="003C6E25" w:rsidP="004B43A9">
            <w:pPr>
              <w:pStyle w:val="CellTextValue"/>
            </w:pPr>
            <w:r>
              <w:rPr>
                <w:color w:val="000000"/>
              </w:rPr>
              <w:t>The conditions are described in General Annex B. The following exceptions apply:</w:t>
            </w:r>
          </w:p>
          <w:p w14:paraId="0D7C4275" w14:textId="77777777" w:rsidR="003C6E25" w:rsidRDefault="003C6E25" w:rsidP="004B43A9">
            <w:pPr>
              <w:pStyle w:val="CellTextValue"/>
            </w:pPr>
            <w:r>
              <w:rPr>
                <w:color w:val="000000"/>
              </w:rPr>
              <w:t xml:space="preserve">If projects use satellite-based earth observation, positioning, navigation and/or related timing data and services, beneficiaries must make use of </w:t>
            </w:r>
            <w:r>
              <w:rPr>
                <w:color w:val="000000"/>
              </w:rPr>
              <w:lastRenderedPageBreak/>
              <w:t>Copernicus and/or Galileo/EGNOS (other data and services may additionally be used).</w:t>
            </w:r>
          </w:p>
          <w:p w14:paraId="730E451D" w14:textId="77777777" w:rsidR="003C6E25" w:rsidRDefault="003C6E25" w:rsidP="004B43A9">
            <w:pPr>
              <w:pStyle w:val="CellTextValue"/>
            </w:pPr>
            <w:r>
              <w:rPr>
                <w:color w:val="000000"/>
              </w:rPr>
              <w:t>The Joint Research Centre (JRC) may participate as member of the consortium selected for funding.</w:t>
            </w:r>
          </w:p>
        </w:tc>
      </w:tr>
      <w:tr w:rsidR="003C6E25" w14:paraId="46704E27" w14:textId="77777777">
        <w:tc>
          <w:tcPr>
            <w:tcW w:w="0" w:type="auto"/>
          </w:tcPr>
          <w:p w14:paraId="5AABCBDC" w14:textId="77777777" w:rsidR="003C6E25" w:rsidRDefault="003C6E25" w:rsidP="004B43A9">
            <w:pPr>
              <w:pStyle w:val="CellTextValue"/>
              <w:jc w:val="left"/>
            </w:pPr>
            <w:r>
              <w:rPr>
                <w:i/>
              </w:rPr>
              <w:lastRenderedPageBreak/>
              <w:t>Technology Readiness Level</w:t>
            </w:r>
          </w:p>
        </w:tc>
        <w:tc>
          <w:tcPr>
            <w:tcW w:w="0" w:type="auto"/>
          </w:tcPr>
          <w:p w14:paraId="0BB8AA77" w14:textId="77777777" w:rsidR="003C6E25" w:rsidRDefault="003C6E25" w:rsidP="004B43A9">
            <w:pPr>
              <w:pStyle w:val="CellTextValue"/>
            </w:pPr>
            <w:r>
              <w:rPr>
                <w:color w:val="000000"/>
              </w:rPr>
              <w:t>Activities are expected to achieve TRL 6-7 by the end of the project – see General Annex B. Activities may start at any TRL.</w:t>
            </w:r>
          </w:p>
        </w:tc>
      </w:tr>
    </w:tbl>
    <w:p w14:paraId="5D730D7A" w14:textId="77777777" w:rsidR="003C6E25" w:rsidRDefault="003C6E25" w:rsidP="003C6E25">
      <w:pPr>
        <w:spacing w:after="0" w:line="150" w:lineRule="auto"/>
      </w:pPr>
    </w:p>
    <w:p w14:paraId="21D8DCF6" w14:textId="77777777" w:rsidR="003C6E25" w:rsidRDefault="003C6E25" w:rsidP="003C6E25">
      <w:r>
        <w:rPr>
          <w:u w:val="single"/>
        </w:rPr>
        <w:t>Expected Outcome</w:t>
      </w:r>
      <w:r>
        <w:t xml:space="preserve">: </w:t>
      </w:r>
      <w:r>
        <w:rPr>
          <w:color w:val="000000"/>
        </w:rPr>
        <w:t>Projects are expected to contribute to all of the following outcomes:</w:t>
      </w:r>
    </w:p>
    <w:p w14:paraId="17A18277" w14:textId="77777777" w:rsidR="003C6E25" w:rsidRDefault="003C6E25" w:rsidP="003C6E25">
      <w:pPr>
        <w:pStyle w:val="ListParagraph"/>
        <w:numPr>
          <w:ilvl w:val="0"/>
          <w:numId w:val="23"/>
        </w:numPr>
        <w:contextualSpacing w:val="0"/>
      </w:pPr>
      <w:r>
        <w:rPr>
          <w:color w:val="000000"/>
        </w:rPr>
        <w:t>Demonstrated system-level long-duration energy storage (LDES) solutions, explicitly aimed at enhancing grid stability, resilience, and flexibility in Europe.</w:t>
      </w:r>
    </w:p>
    <w:p w14:paraId="2A16D271" w14:textId="77777777" w:rsidR="003C6E25" w:rsidRDefault="003C6E25" w:rsidP="003C6E25">
      <w:pPr>
        <w:pStyle w:val="ListParagraph"/>
        <w:numPr>
          <w:ilvl w:val="0"/>
          <w:numId w:val="23"/>
        </w:numPr>
        <w:contextualSpacing w:val="0"/>
      </w:pPr>
      <w:r>
        <w:rPr>
          <w:color w:val="000000"/>
        </w:rPr>
        <w:t xml:space="preserve"> Substantial reduction of Europe's dependence on critical raw materials through the use of abundant, low-cost, and sustainable materials.</w:t>
      </w:r>
    </w:p>
    <w:p w14:paraId="48941044" w14:textId="77777777" w:rsidR="003C6E25" w:rsidRDefault="003C6E25" w:rsidP="003C6E25">
      <w:pPr>
        <w:pStyle w:val="ListParagraph"/>
        <w:numPr>
          <w:ilvl w:val="0"/>
          <w:numId w:val="23"/>
        </w:numPr>
        <w:contextualSpacing w:val="0"/>
      </w:pPr>
      <w:r>
        <w:rPr>
          <w:color w:val="000000"/>
        </w:rPr>
        <w:t>Contribute to strategic insights for a coherent EU-wide stationary storage deployment strategy, enhancing European energy autonomy and sustainability.</w:t>
      </w:r>
    </w:p>
    <w:p w14:paraId="7340EB06" w14:textId="77777777" w:rsidR="003C6E25" w:rsidRDefault="003C6E25" w:rsidP="003C6E25">
      <w:pPr>
        <w:pStyle w:val="ListParagraph"/>
        <w:numPr>
          <w:ilvl w:val="0"/>
          <w:numId w:val="23"/>
        </w:numPr>
        <w:contextualSpacing w:val="0"/>
      </w:pPr>
      <w:r>
        <w:rPr>
          <w:color w:val="000000"/>
        </w:rPr>
        <w:t xml:space="preserve">Sufficient and reproducible operational data and insights to serve as reliable input towards detailed technoeconomic analyses.  </w:t>
      </w:r>
    </w:p>
    <w:p w14:paraId="1C853BB8" w14:textId="77777777" w:rsidR="003C6E25" w:rsidRDefault="003C6E25" w:rsidP="003C6E25">
      <w:r>
        <w:rPr>
          <w:u w:val="single"/>
        </w:rPr>
        <w:t>Scope</w:t>
      </w:r>
      <w:r>
        <w:t xml:space="preserve">: </w:t>
      </w:r>
      <w:r>
        <w:rPr>
          <w:color w:val="000000"/>
        </w:rPr>
        <w:t>Proposals must focus on system-level demonstrations of innovative long-duration (&gt; 8 hours) battery storage concepts that can effectively support utility-scale energy systems or industrial consumers in achieving energy security and operational sustainability.</w:t>
      </w:r>
    </w:p>
    <w:p w14:paraId="3E50C31B" w14:textId="77777777" w:rsidR="003C6E25" w:rsidRDefault="003C6E25" w:rsidP="003C6E25">
      <w:r>
        <w:rPr>
          <w:color w:val="000000"/>
        </w:rPr>
        <w:t>Projects are expected to cover all the following points:</w:t>
      </w:r>
    </w:p>
    <w:p w14:paraId="3B59C4AA" w14:textId="77777777" w:rsidR="003C6E25" w:rsidRDefault="003C6E25" w:rsidP="003C6E25">
      <w:pPr>
        <w:pStyle w:val="ListParagraph"/>
        <w:numPr>
          <w:ilvl w:val="0"/>
          <w:numId w:val="24"/>
        </w:numPr>
        <w:contextualSpacing w:val="0"/>
      </w:pPr>
      <w:r>
        <w:rPr>
          <w:color w:val="000000"/>
        </w:rPr>
        <w:t>Demonstration of advanced long-duration storage technologies not yet on the market such as novel redox flow batteries (standard or mediated), high-temperature systems, metal-air systems, multivalent chemistries (organic or aqueous), or other non-commercialised technologies or architectures.</w:t>
      </w:r>
    </w:p>
    <w:p w14:paraId="7DDA9023" w14:textId="77777777" w:rsidR="003C6E25" w:rsidRDefault="003C6E25" w:rsidP="003C6E25">
      <w:pPr>
        <w:pStyle w:val="ListParagraph"/>
        <w:numPr>
          <w:ilvl w:val="0"/>
          <w:numId w:val="24"/>
        </w:numPr>
        <w:contextualSpacing w:val="0"/>
      </w:pPr>
      <w:r>
        <w:rPr>
          <w:color w:val="000000"/>
        </w:rPr>
        <w:t>Assessment and definition of use case(s) intended for the proposed technology (front-of-the-meter grid-scale storage, behind-the-meter large industrial energy consumer, firming of renewable generation) along with quantified impact on improved grid resilience, reduced emissions, safety, and lowered energy storage cost.</w:t>
      </w:r>
    </w:p>
    <w:p w14:paraId="44D87B83" w14:textId="77777777" w:rsidR="003C6E25" w:rsidRDefault="003C6E25" w:rsidP="003C6E25">
      <w:pPr>
        <w:pStyle w:val="ListParagraph"/>
        <w:numPr>
          <w:ilvl w:val="0"/>
          <w:numId w:val="24"/>
        </w:numPr>
        <w:contextualSpacing w:val="0"/>
      </w:pPr>
      <w:r>
        <w:rPr>
          <w:color w:val="000000"/>
        </w:rPr>
        <w:t>Assessment of hybridization potential of complementary energy storage technologies (e.g., redox flow batteries with supercapacitors) to optimize overall system performance for the intended use case(s) and extending system lifecycle.</w:t>
      </w:r>
    </w:p>
    <w:p w14:paraId="4007208A" w14:textId="77777777" w:rsidR="003C6E25" w:rsidRDefault="003C6E25" w:rsidP="003C6E25">
      <w:pPr>
        <w:pStyle w:val="ListParagraph"/>
        <w:numPr>
          <w:ilvl w:val="0"/>
          <w:numId w:val="24"/>
        </w:numPr>
        <w:contextualSpacing w:val="0"/>
      </w:pPr>
      <w:r>
        <w:rPr>
          <w:color w:val="000000"/>
        </w:rPr>
        <w:t>Utilization of abundant, low-cost, and sustainable materials, explicitly prioritizing materials with reliable and scalable European supply chains, accompanied by realistic and detailed pathways to production routes at scale.</w:t>
      </w:r>
    </w:p>
    <w:p w14:paraId="6C7820B4" w14:textId="77777777" w:rsidR="003C6E25" w:rsidRDefault="003C6E25" w:rsidP="003C6E25">
      <w:pPr>
        <w:pStyle w:val="ListParagraph"/>
        <w:numPr>
          <w:ilvl w:val="0"/>
          <w:numId w:val="24"/>
        </w:numPr>
        <w:contextualSpacing w:val="0"/>
      </w:pPr>
      <w:r>
        <w:rPr>
          <w:color w:val="000000"/>
        </w:rPr>
        <w:lastRenderedPageBreak/>
        <w:t>Integration of advanced digital technologies, for accurate state-of-charge (SOC), state-of-health (SOH), and lifetime predictions, optimizing battery management systems (BMS), energy management systems (EMS), and overall component performance for extended system longevity.</w:t>
      </w:r>
    </w:p>
    <w:p w14:paraId="578B79AC" w14:textId="77777777" w:rsidR="003C6E25" w:rsidRDefault="003C6E25" w:rsidP="003C6E25">
      <w:pPr>
        <w:pStyle w:val="ListParagraph"/>
        <w:numPr>
          <w:ilvl w:val="0"/>
          <w:numId w:val="24"/>
        </w:numPr>
        <w:contextualSpacing w:val="0"/>
      </w:pPr>
      <w:r>
        <w:rPr>
          <w:color w:val="000000"/>
        </w:rPr>
        <w:t>Comprehensive techno-economic analyses, including realistic assessments of CAPEX, OPEX, based on measured technical performance metrics (e.g., self-discharge rates, calendar life, cycle life, round-trip efficiency, necessary safety investments) to clearly establish economic viability and competitiveness for the intended use-case in comparison to the commercial, incumbent technology.</w:t>
      </w:r>
    </w:p>
    <w:p w14:paraId="1CC7A510" w14:textId="77777777" w:rsidR="003C6E25" w:rsidRDefault="003C6E25" w:rsidP="003C6E25">
      <w:pPr>
        <w:pStyle w:val="ListParagraph"/>
        <w:numPr>
          <w:ilvl w:val="0"/>
          <w:numId w:val="24"/>
        </w:numPr>
        <w:contextualSpacing w:val="0"/>
      </w:pPr>
      <w:r>
        <w:rPr>
          <w:color w:val="000000"/>
        </w:rPr>
        <w:t xml:space="preserve">Comprehensive safety assessment at system-level, documenting potential concerns (e.g. flammability, toxicity) and mitigation strategies ahead of widescale adoption of technology.  </w:t>
      </w:r>
    </w:p>
    <w:p w14:paraId="321407AB" w14:textId="77777777" w:rsidR="003C6E25" w:rsidRDefault="003C6E25" w:rsidP="003C6E25">
      <w:r>
        <w:rPr>
          <w:color w:val="000000"/>
        </w:rPr>
        <w:t>The Commission initiative for Safe and Sustainable by Design</w:t>
      </w:r>
      <w:r>
        <w:rPr>
          <w:vertAlign w:val="superscript"/>
        </w:rPr>
        <w:footnoteReference w:id="19"/>
      </w:r>
      <w:r>
        <w:rPr>
          <w:color w:val="000000"/>
        </w:rPr>
        <w:t xml:space="preserve"> (</w:t>
      </w:r>
      <w:proofErr w:type="spellStart"/>
      <w:r>
        <w:rPr>
          <w:color w:val="000000"/>
        </w:rPr>
        <w:t>SSbD</w:t>
      </w:r>
      <w:proofErr w:type="spellEnd"/>
      <w:r>
        <w:rPr>
          <w:color w:val="000000"/>
        </w:rPr>
        <w:t>) sets a framework for assessing the safety and sustainability of chemicals and materials which should be considered as a reference for project proposals.</w:t>
      </w:r>
    </w:p>
    <w:p w14:paraId="4576EF15" w14:textId="77777777" w:rsidR="003C6E25" w:rsidRDefault="003C6E25" w:rsidP="003C6E25">
      <w:r>
        <w:rPr>
          <w:color w:val="000000"/>
        </w:rPr>
        <w:t>Whenever the expected exploitation of project results entails developing, creating, manufacturing and marketing a product or process, or in creating and providing a service, the plan for the exploitation and dissemination of results must include a strategy for such exploitation. The exploitation plans are expected to include preliminary plans for scalability, commercialisation, and deployment (feasibility study, business plan) indicating the possible funding sources to be potentially used (in particular the Innovation Fund).</w:t>
      </w:r>
    </w:p>
    <w:p w14:paraId="7EBEC8CC" w14:textId="77777777" w:rsidR="003C6E25" w:rsidRDefault="003C6E25" w:rsidP="003C6E25">
      <w:r>
        <w:rPr>
          <w:color w:val="000000"/>
        </w:rPr>
        <w:t>Proposals could consider the involvement of the European Commission's Joint Research Centre (JRC)</w:t>
      </w:r>
      <w:r>
        <w:rPr>
          <w:vertAlign w:val="superscript"/>
        </w:rPr>
        <w:footnoteReference w:id="20"/>
      </w:r>
      <w:r>
        <w:rPr>
          <w:color w:val="000000"/>
        </w:rPr>
        <w:t xml:space="preserve"> whose contribution could consist of performing experimental or desk-top research on battery performance or safety. For further information on the JRC’s possible contribution to the projects, please, search for additional publicly available information on the JRC’s website (EU Science Hub) on the NCP portal, or request specific information from the JRC (JRC-NCP-Network@ec.europa.eu)</w:t>
      </w:r>
    </w:p>
    <w:p w14:paraId="782A47F2" w14:textId="77777777" w:rsidR="003C6E25" w:rsidRDefault="003C6E25" w:rsidP="003C6E25">
      <w:r>
        <w:rPr>
          <w:color w:val="000000"/>
        </w:rPr>
        <w:t>JRC shall assure that all the other applicants receive the same information on the JRC’s possible contribution to the project (e.g., via the topic-specific FAQs under the Funding and Tenders Portal).</w:t>
      </w:r>
    </w:p>
    <w:p w14:paraId="09170947" w14:textId="77777777" w:rsidR="003C6E25" w:rsidRDefault="003C6E25" w:rsidP="003C6E25">
      <w:r>
        <w:rPr>
          <w:color w:val="000000"/>
        </w:rPr>
        <w:t>This topic implements the co-programmed European Partnership on Batteries (Batt4EU). As such, projects resulting from this topic will be expected to report on the results to the European Partnership on Batteries (Batt4EU) in support of the monitoring of its KPIs.</w:t>
      </w:r>
    </w:p>
    <w:p w14:paraId="53CB8DBB" w14:textId="77777777" w:rsidR="008C5EDC" w:rsidRDefault="008C5EDC"/>
    <w:sectPr w:rsidR="008C5EDC" w:rsidSect="001354C7">
      <w:pgSz w:w="11906" w:h="16838"/>
      <w:pgMar w:top="1411" w:right="1411" w:bottom="1411" w:left="1411" w:header="850"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05E61" w14:textId="77777777" w:rsidR="00231247" w:rsidRDefault="00231247" w:rsidP="003C6E25">
      <w:pPr>
        <w:spacing w:after="0" w:line="240" w:lineRule="auto"/>
      </w:pPr>
      <w:r>
        <w:separator/>
      </w:r>
    </w:p>
  </w:endnote>
  <w:endnote w:type="continuationSeparator" w:id="0">
    <w:p w14:paraId="5453A181" w14:textId="77777777" w:rsidR="00231247" w:rsidRDefault="00231247" w:rsidP="003C6E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6D50F" w14:textId="77777777" w:rsidR="00231247" w:rsidRDefault="00231247" w:rsidP="003C6E25">
      <w:pPr>
        <w:spacing w:after="0" w:line="240" w:lineRule="auto"/>
      </w:pPr>
      <w:r>
        <w:separator/>
      </w:r>
    </w:p>
  </w:footnote>
  <w:footnote w:type="continuationSeparator" w:id="0">
    <w:p w14:paraId="397BF214" w14:textId="77777777" w:rsidR="00231247" w:rsidRDefault="00231247" w:rsidP="003C6E25">
      <w:pPr>
        <w:spacing w:after="0" w:line="240" w:lineRule="auto"/>
      </w:pPr>
      <w:r>
        <w:continuationSeparator/>
      </w:r>
    </w:p>
  </w:footnote>
  <w:footnote w:id="1">
    <w:p w14:paraId="3B4573F0" w14:textId="77777777" w:rsidR="003C6E25" w:rsidRDefault="003C6E25" w:rsidP="003C6E25">
      <w:pPr>
        <w:pStyle w:val="footnote1"/>
      </w:pPr>
      <w:r>
        <w:rPr>
          <w:vertAlign w:val="superscript"/>
        </w:rPr>
        <w:footnoteRef/>
      </w:r>
      <w:r>
        <w:rPr>
          <w:vertAlign w:val="superscript"/>
        </w:rPr>
        <w:tab/>
      </w:r>
      <w:r>
        <w:rPr>
          <w:color w:val="000000"/>
        </w:rPr>
        <w:t xml:space="preserve">This </w:t>
      </w:r>
      <w:hyperlink r:id="rId1">
        <w:r>
          <w:rPr>
            <w:color w:val="0000FF"/>
            <w:szCs w:val="20"/>
            <w:u w:val="single"/>
          </w:rPr>
          <w:t>decision</w:t>
        </w:r>
      </w:hyperlink>
      <w:r>
        <w:rPr>
          <w:color w:val="000000"/>
        </w:rPr>
        <w:t xml:space="preserve"> is available on the Funding and Tenders Portal, in the reference documents section for Horizon Europe, under ‘Simplified costs decisions’ or through this link: </w:t>
      </w:r>
      <w:hyperlink r:id="rId2">
        <w:r>
          <w:rPr>
            <w:color w:val="0000FF"/>
            <w:szCs w:val="20"/>
            <w:u w:val="single"/>
          </w:rPr>
          <w:t>https://ec.europa.eu/info/funding-tenders/opportunities/docs/2021-2027/horizon/guidance/ls-decision_he_en.pdf</w:t>
        </w:r>
      </w:hyperlink>
    </w:p>
  </w:footnote>
  <w:footnote w:id="2">
    <w:p w14:paraId="727D9F24" w14:textId="77777777" w:rsidR="003C6E25" w:rsidRDefault="003C6E25" w:rsidP="003C6E25">
      <w:pPr>
        <w:pStyle w:val="footnote1"/>
      </w:pPr>
      <w:r>
        <w:rPr>
          <w:vertAlign w:val="superscript"/>
        </w:rPr>
        <w:footnoteRef/>
      </w:r>
      <w:r>
        <w:rPr>
          <w:vertAlign w:val="superscript"/>
        </w:rPr>
        <w:tab/>
      </w:r>
      <w:hyperlink r:id="rId3">
        <w:r>
          <w:rPr>
            <w:color w:val="0000FF"/>
            <w:szCs w:val="20"/>
            <w:u w:val="single"/>
          </w:rPr>
          <w:t>https://bepassociation.eu/wp-content/uploads/2021/09/BATT4EU_reportA4_SRIA_V15_September.pdf</w:t>
        </w:r>
      </w:hyperlink>
    </w:p>
  </w:footnote>
  <w:footnote w:id="3">
    <w:p w14:paraId="584F29ED" w14:textId="77777777" w:rsidR="003C6E25" w:rsidRDefault="003C6E25" w:rsidP="003C6E25">
      <w:pPr>
        <w:pStyle w:val="footnote1"/>
      </w:pPr>
      <w:r>
        <w:rPr>
          <w:vertAlign w:val="superscript"/>
        </w:rPr>
        <w:footnoteRef/>
      </w:r>
      <w:r>
        <w:rPr>
          <w:vertAlign w:val="superscript"/>
        </w:rPr>
        <w:tab/>
      </w:r>
      <w:hyperlink r:id="rId4">
        <w:r>
          <w:rPr>
            <w:color w:val="0000FF"/>
            <w:szCs w:val="20"/>
            <w:u w:val="single"/>
          </w:rPr>
          <w:t>https://research-and-innovation.ec.europa.eu/research-area/industrial-research-and-innovation/key-enabling-technologies/chemicals-and-advanced-materials_en</w:t>
        </w:r>
      </w:hyperlink>
    </w:p>
  </w:footnote>
  <w:footnote w:id="4">
    <w:p w14:paraId="7008610E" w14:textId="77777777" w:rsidR="003C6E25" w:rsidRDefault="003C6E25" w:rsidP="003C6E25">
      <w:pPr>
        <w:pStyle w:val="footnote1"/>
      </w:pPr>
      <w:r>
        <w:rPr>
          <w:vertAlign w:val="superscript"/>
        </w:rPr>
        <w:footnoteRef/>
      </w:r>
      <w:r>
        <w:rPr>
          <w:vertAlign w:val="superscript"/>
        </w:rPr>
        <w:tab/>
      </w:r>
      <w:r>
        <w:rPr>
          <w:color w:val="000000"/>
        </w:rPr>
        <w:t xml:space="preserve">This </w:t>
      </w:r>
      <w:hyperlink r:id="rId5">
        <w:r>
          <w:rPr>
            <w:color w:val="0000FF"/>
            <w:szCs w:val="20"/>
            <w:u w:val="single"/>
          </w:rPr>
          <w:t>decision</w:t>
        </w:r>
      </w:hyperlink>
      <w:r>
        <w:rPr>
          <w:color w:val="000000"/>
        </w:rPr>
        <w:t xml:space="preserve"> is available on the Funding and Tenders Portal, in the reference documents section for Horizon Europe, under ‘Simplified costs decisions’ or through this link: </w:t>
      </w:r>
      <w:hyperlink r:id="rId6">
        <w:r>
          <w:rPr>
            <w:color w:val="0000FF"/>
            <w:szCs w:val="20"/>
            <w:u w:val="single"/>
          </w:rPr>
          <w:t>https://ec.europa.eu/info/funding-tenders/opportunities/docs/2021-2027/horizon/guidance/ls-decision_he_en.pdf</w:t>
        </w:r>
      </w:hyperlink>
    </w:p>
  </w:footnote>
  <w:footnote w:id="5">
    <w:p w14:paraId="0C804EE0" w14:textId="77777777" w:rsidR="003C6E25" w:rsidRDefault="003C6E25" w:rsidP="003C6E25">
      <w:pPr>
        <w:pStyle w:val="footnote1"/>
      </w:pPr>
      <w:r>
        <w:rPr>
          <w:vertAlign w:val="superscript"/>
        </w:rPr>
        <w:footnoteRef/>
      </w:r>
      <w:r>
        <w:rPr>
          <w:vertAlign w:val="superscript"/>
        </w:rPr>
        <w:tab/>
      </w:r>
      <w:hyperlink r:id="rId7">
        <w:r>
          <w:rPr>
            <w:color w:val="0000FF"/>
            <w:szCs w:val="20"/>
            <w:u w:val="single"/>
          </w:rPr>
          <w:t>https://research-and-innovation.ec.europa.eu/research-area/industrial-research-and-innovation/key-enabling-technologies/chemicals-and-advanced-materials_en</w:t>
        </w:r>
      </w:hyperlink>
    </w:p>
  </w:footnote>
  <w:footnote w:id="6">
    <w:p w14:paraId="315E935C" w14:textId="77777777" w:rsidR="003C6E25" w:rsidRDefault="003C6E25" w:rsidP="003C6E25">
      <w:pPr>
        <w:pStyle w:val="footnote1"/>
      </w:pPr>
      <w:r>
        <w:rPr>
          <w:vertAlign w:val="superscript"/>
        </w:rPr>
        <w:footnoteRef/>
      </w:r>
      <w:r>
        <w:rPr>
          <w:vertAlign w:val="superscript"/>
        </w:rPr>
        <w:tab/>
      </w:r>
      <w:r>
        <w:rPr>
          <w:color w:val="000000"/>
        </w:rPr>
        <w:t>https://joint-research-centre.ec.europa.eu/laboratories-z/battery-energy-storage-testing_en</w:t>
      </w:r>
    </w:p>
  </w:footnote>
  <w:footnote w:id="7">
    <w:p w14:paraId="1447FBCD" w14:textId="77777777" w:rsidR="003C6E25" w:rsidRDefault="003C6E25" w:rsidP="003C6E25">
      <w:pPr>
        <w:pStyle w:val="footnote1"/>
      </w:pPr>
      <w:r>
        <w:rPr>
          <w:vertAlign w:val="superscript"/>
        </w:rPr>
        <w:footnoteRef/>
      </w:r>
      <w:r>
        <w:rPr>
          <w:vertAlign w:val="superscript"/>
        </w:rPr>
        <w:tab/>
      </w:r>
      <w:hyperlink r:id="rId8">
        <w:r>
          <w:rPr>
            <w:color w:val="0000FF"/>
            <w:szCs w:val="20"/>
            <w:u w:val="single"/>
          </w:rPr>
          <w:t>https://research-and-innovation.ec.europa.eu/research-area/industrial-research-and-innovation/key-enabling-technologies/chemicals-and-advanced-materials_en</w:t>
        </w:r>
      </w:hyperlink>
    </w:p>
  </w:footnote>
  <w:footnote w:id="8">
    <w:p w14:paraId="2893B6F9" w14:textId="77777777" w:rsidR="003C6E25" w:rsidRDefault="003C6E25" w:rsidP="003C6E25">
      <w:pPr>
        <w:pStyle w:val="footnote1"/>
      </w:pPr>
      <w:r>
        <w:rPr>
          <w:vertAlign w:val="superscript"/>
        </w:rPr>
        <w:footnoteRef/>
      </w:r>
      <w:r>
        <w:rPr>
          <w:vertAlign w:val="superscript"/>
        </w:rPr>
        <w:tab/>
      </w:r>
      <w:r>
        <w:rPr>
          <w:color w:val="000000"/>
        </w:rPr>
        <w:t>https://joint-research-centre.ec.europa.eu/laboratories-z/battery-energy-storage-testing_en</w:t>
      </w:r>
    </w:p>
  </w:footnote>
  <w:footnote w:id="9">
    <w:p w14:paraId="45DF3D95" w14:textId="77777777" w:rsidR="003C6E25" w:rsidRPr="00D16FA1" w:rsidRDefault="003C6E25" w:rsidP="003C6E25">
      <w:pPr>
        <w:pStyle w:val="footnote1"/>
        <w:rPr>
          <w:lang w:val="fr-BE"/>
        </w:rPr>
      </w:pPr>
      <w:r>
        <w:rPr>
          <w:vertAlign w:val="superscript"/>
        </w:rPr>
        <w:footnoteRef/>
      </w:r>
      <w:r w:rsidRPr="00D16FA1">
        <w:rPr>
          <w:vertAlign w:val="superscript"/>
          <w:lang w:val="fr-BE"/>
        </w:rPr>
        <w:tab/>
      </w:r>
      <w:hyperlink r:id="rId9">
        <w:proofErr w:type="spellStart"/>
        <w:r w:rsidRPr="00D16FA1">
          <w:rPr>
            <w:color w:val="0000FF"/>
            <w:szCs w:val="20"/>
            <w:u w:val="single"/>
            <w:lang w:val="fr-BE"/>
          </w:rPr>
          <w:t>Regulation</w:t>
        </w:r>
        <w:proofErr w:type="spellEnd"/>
        <w:r w:rsidRPr="00D16FA1">
          <w:rPr>
            <w:color w:val="0000FF"/>
            <w:szCs w:val="20"/>
            <w:u w:val="single"/>
            <w:lang w:val="fr-BE"/>
          </w:rPr>
          <w:t xml:space="preserve"> - 2023/1542 - EN - EUR-Lex</w:t>
        </w:r>
      </w:hyperlink>
    </w:p>
  </w:footnote>
  <w:footnote w:id="10">
    <w:p w14:paraId="204A4FC7" w14:textId="77777777" w:rsidR="003C6E25" w:rsidRPr="00D16FA1" w:rsidRDefault="003C6E25" w:rsidP="003C6E25">
      <w:pPr>
        <w:pStyle w:val="footnote1"/>
        <w:rPr>
          <w:lang w:val="fr-BE"/>
        </w:rPr>
      </w:pPr>
      <w:r>
        <w:rPr>
          <w:vertAlign w:val="superscript"/>
        </w:rPr>
        <w:footnoteRef/>
      </w:r>
      <w:r w:rsidRPr="00D16FA1">
        <w:rPr>
          <w:vertAlign w:val="superscript"/>
          <w:lang w:val="fr-BE"/>
        </w:rPr>
        <w:tab/>
      </w:r>
      <w:hyperlink r:id="rId10">
        <w:r w:rsidRPr="00D16FA1">
          <w:rPr>
            <w:color w:val="0000FF"/>
            <w:szCs w:val="20"/>
            <w:u w:val="single"/>
            <w:lang w:val="fr-BE"/>
          </w:rPr>
          <w:t>https://research-and-innovation.ec.europa.eu/news/all-research-and-innovation-news/recommendation-safe-and-sustainable-chemicals-published-2022-12-08_en</w:t>
        </w:r>
      </w:hyperlink>
    </w:p>
  </w:footnote>
  <w:footnote w:id="11">
    <w:p w14:paraId="5DE3462E" w14:textId="77777777" w:rsidR="003C6E25" w:rsidRPr="00D16FA1" w:rsidRDefault="003C6E25" w:rsidP="003C6E25">
      <w:pPr>
        <w:pStyle w:val="footnote1"/>
        <w:rPr>
          <w:lang w:val="fr-BE"/>
        </w:rPr>
      </w:pPr>
      <w:r>
        <w:rPr>
          <w:vertAlign w:val="superscript"/>
        </w:rPr>
        <w:footnoteRef/>
      </w:r>
      <w:r w:rsidRPr="00D16FA1">
        <w:rPr>
          <w:vertAlign w:val="superscript"/>
          <w:lang w:val="fr-BE"/>
        </w:rPr>
        <w:tab/>
      </w:r>
      <w:hyperlink r:id="rId11">
        <w:r w:rsidRPr="00D16FA1">
          <w:rPr>
            <w:color w:val="0000FF"/>
            <w:szCs w:val="20"/>
            <w:u w:val="single"/>
            <w:lang w:val="fr-BE"/>
          </w:rPr>
          <w:t>https://research-and-innovation.ec.europa.eu/research-area/industrial-research-and-innovation/key-enabling-technologies/chemicals-and-advanced-materials_en</w:t>
        </w:r>
      </w:hyperlink>
    </w:p>
  </w:footnote>
  <w:footnote w:id="12">
    <w:p w14:paraId="73083816" w14:textId="77777777" w:rsidR="003C6E25" w:rsidRPr="00D16FA1" w:rsidRDefault="003C6E25" w:rsidP="003C6E25">
      <w:pPr>
        <w:pStyle w:val="footnote1"/>
        <w:rPr>
          <w:lang w:val="fr-BE"/>
        </w:rPr>
      </w:pPr>
      <w:r>
        <w:rPr>
          <w:vertAlign w:val="superscript"/>
        </w:rPr>
        <w:footnoteRef/>
      </w:r>
      <w:r w:rsidRPr="00D16FA1">
        <w:rPr>
          <w:vertAlign w:val="superscript"/>
          <w:lang w:val="fr-BE"/>
        </w:rPr>
        <w:tab/>
      </w:r>
      <w:r w:rsidRPr="00D16FA1">
        <w:rPr>
          <w:color w:val="000000"/>
          <w:lang w:val="fr-BE"/>
        </w:rPr>
        <w:t>https://joint-research-centre.ec.europa.eu/laboratories-z/battery-energy-storage-testing_en</w:t>
      </w:r>
    </w:p>
  </w:footnote>
  <w:footnote w:id="13">
    <w:p w14:paraId="1D5C9AFB" w14:textId="77777777" w:rsidR="003C6E25" w:rsidRPr="00D16FA1" w:rsidRDefault="003C6E25" w:rsidP="003C6E25">
      <w:pPr>
        <w:pStyle w:val="footnote1"/>
        <w:rPr>
          <w:lang w:val="fr-BE"/>
        </w:rPr>
      </w:pPr>
      <w:r>
        <w:rPr>
          <w:vertAlign w:val="superscript"/>
        </w:rPr>
        <w:footnoteRef/>
      </w:r>
      <w:r w:rsidRPr="00D16FA1">
        <w:rPr>
          <w:vertAlign w:val="superscript"/>
          <w:lang w:val="fr-BE"/>
        </w:rPr>
        <w:tab/>
      </w:r>
      <w:hyperlink r:id="rId12">
        <w:r w:rsidRPr="00D16FA1">
          <w:rPr>
            <w:color w:val="0000FF"/>
            <w:szCs w:val="20"/>
            <w:u w:val="single"/>
            <w:lang w:val="fr-BE"/>
          </w:rPr>
          <w:t>https://research-and-innovation.ec.europa.eu/research-area/industrial-research-and-innovation/key-enabling-technologies/chemicals-and-advanced-materials_en</w:t>
        </w:r>
      </w:hyperlink>
    </w:p>
  </w:footnote>
  <w:footnote w:id="14">
    <w:p w14:paraId="04B253BF" w14:textId="77777777" w:rsidR="003C6E25" w:rsidRPr="00D16FA1" w:rsidRDefault="003C6E25" w:rsidP="003C6E25">
      <w:pPr>
        <w:pStyle w:val="footnote1"/>
        <w:rPr>
          <w:lang w:val="fr-BE"/>
        </w:rPr>
      </w:pPr>
      <w:r>
        <w:rPr>
          <w:vertAlign w:val="superscript"/>
        </w:rPr>
        <w:footnoteRef/>
      </w:r>
      <w:r w:rsidRPr="00D16FA1">
        <w:rPr>
          <w:vertAlign w:val="superscript"/>
          <w:lang w:val="fr-BE"/>
        </w:rPr>
        <w:tab/>
      </w:r>
      <w:r w:rsidRPr="00D16FA1">
        <w:rPr>
          <w:color w:val="000000"/>
          <w:lang w:val="fr-BE"/>
        </w:rPr>
        <w:t>https://joint-research-centre.ec.europa.eu/laboratories-z/battery-energy-storage-testing_en</w:t>
      </w:r>
    </w:p>
  </w:footnote>
  <w:footnote w:id="15">
    <w:p w14:paraId="48438194" w14:textId="77777777" w:rsidR="003C6E25" w:rsidRDefault="003C6E25" w:rsidP="003C6E25">
      <w:pPr>
        <w:pStyle w:val="footnote1"/>
      </w:pPr>
      <w:r>
        <w:rPr>
          <w:vertAlign w:val="superscript"/>
        </w:rPr>
        <w:footnoteRef/>
      </w:r>
      <w:r>
        <w:rPr>
          <w:vertAlign w:val="superscript"/>
        </w:rPr>
        <w:tab/>
      </w:r>
      <w:r>
        <w:rPr>
          <w:color w:val="000000"/>
        </w:rPr>
        <w:t xml:space="preserve">This </w:t>
      </w:r>
      <w:hyperlink r:id="rId13">
        <w:r>
          <w:rPr>
            <w:color w:val="0000FF"/>
            <w:szCs w:val="20"/>
            <w:u w:val="single"/>
          </w:rPr>
          <w:t>decision</w:t>
        </w:r>
      </w:hyperlink>
      <w:r>
        <w:rPr>
          <w:color w:val="000000"/>
        </w:rPr>
        <w:t xml:space="preserve"> is available on the Funding and Tenders Portal, in the reference documents section for Horizon Europe, under ‘Simplified costs decisions’ or through this link: </w:t>
      </w:r>
      <w:hyperlink r:id="rId14">
        <w:r>
          <w:rPr>
            <w:color w:val="0000FF"/>
            <w:szCs w:val="20"/>
            <w:u w:val="single"/>
          </w:rPr>
          <w:t>https://ec.europa.eu/info/funding-tenders/opportunities/docs/2021-2027/horizon/guidance/ls-decision_he_en.pdf</w:t>
        </w:r>
      </w:hyperlink>
    </w:p>
  </w:footnote>
  <w:footnote w:id="16">
    <w:p w14:paraId="60CEF7A2" w14:textId="77777777" w:rsidR="003C6E25" w:rsidRDefault="003C6E25" w:rsidP="003C6E25">
      <w:pPr>
        <w:pStyle w:val="footnote1"/>
      </w:pPr>
      <w:r>
        <w:rPr>
          <w:vertAlign w:val="superscript"/>
        </w:rPr>
        <w:footnoteRef/>
      </w:r>
      <w:r>
        <w:rPr>
          <w:vertAlign w:val="superscript"/>
        </w:rPr>
        <w:tab/>
      </w:r>
      <w:hyperlink r:id="rId15">
        <w:r>
          <w:rPr>
            <w:color w:val="0000FF"/>
            <w:szCs w:val="20"/>
            <w:u w:val="single"/>
          </w:rPr>
          <w:t>https://bepassociation.eu/our-work/sria/</w:t>
        </w:r>
      </w:hyperlink>
    </w:p>
  </w:footnote>
  <w:footnote w:id="17">
    <w:p w14:paraId="7EFEFF21" w14:textId="77777777" w:rsidR="003C6E25" w:rsidRDefault="003C6E25" w:rsidP="003C6E25">
      <w:pPr>
        <w:pStyle w:val="footnote1"/>
      </w:pPr>
      <w:r>
        <w:rPr>
          <w:vertAlign w:val="superscript"/>
        </w:rPr>
        <w:footnoteRef/>
      </w:r>
      <w:r>
        <w:rPr>
          <w:vertAlign w:val="superscript"/>
        </w:rPr>
        <w:tab/>
      </w:r>
      <w:hyperlink r:id="rId16">
        <w:r>
          <w:rPr>
            <w:color w:val="0000FF"/>
            <w:szCs w:val="20"/>
            <w:u w:val="single"/>
          </w:rPr>
          <w:t>https://research-and-innovation.ec.europa.eu/research-area/industrial-research-and-innovation/key-enabling-technologies/chemicals-and-advanced-materials_en</w:t>
        </w:r>
      </w:hyperlink>
    </w:p>
  </w:footnote>
  <w:footnote w:id="18">
    <w:p w14:paraId="178E89CE" w14:textId="77777777" w:rsidR="003C6E25" w:rsidRDefault="003C6E25" w:rsidP="003C6E25">
      <w:pPr>
        <w:pStyle w:val="footnote1"/>
      </w:pPr>
      <w:r>
        <w:rPr>
          <w:vertAlign w:val="superscript"/>
        </w:rPr>
        <w:footnoteRef/>
      </w:r>
      <w:r>
        <w:rPr>
          <w:vertAlign w:val="superscript"/>
        </w:rPr>
        <w:tab/>
      </w:r>
      <w:r>
        <w:rPr>
          <w:color w:val="000000"/>
        </w:rPr>
        <w:t>https://joint-research-centre.ec.europa.eu/laboratories-z/battery-energy-storage-testing_en</w:t>
      </w:r>
    </w:p>
  </w:footnote>
  <w:footnote w:id="19">
    <w:p w14:paraId="52495E34" w14:textId="77777777" w:rsidR="003C6E25" w:rsidRDefault="003C6E25" w:rsidP="003C6E25">
      <w:pPr>
        <w:pStyle w:val="footnote1"/>
      </w:pPr>
      <w:r>
        <w:rPr>
          <w:vertAlign w:val="superscript"/>
        </w:rPr>
        <w:footnoteRef/>
      </w:r>
      <w:r>
        <w:rPr>
          <w:vertAlign w:val="superscript"/>
        </w:rPr>
        <w:tab/>
      </w:r>
      <w:hyperlink r:id="rId17">
        <w:r>
          <w:rPr>
            <w:color w:val="0000FF"/>
            <w:szCs w:val="20"/>
            <w:u w:val="single"/>
          </w:rPr>
          <w:t>https://research-and-innovation.ec.europa.eu/research-area/industrial-research-and-innovation/key-enabling-technologies/chemicals-and-advanced-materials_en</w:t>
        </w:r>
      </w:hyperlink>
    </w:p>
  </w:footnote>
  <w:footnote w:id="20">
    <w:p w14:paraId="63AFDDD6" w14:textId="77777777" w:rsidR="003C6E25" w:rsidRDefault="003C6E25" w:rsidP="003C6E25">
      <w:pPr>
        <w:pStyle w:val="footnote1"/>
      </w:pPr>
      <w:r>
        <w:rPr>
          <w:vertAlign w:val="superscript"/>
        </w:rPr>
        <w:footnoteRef/>
      </w:r>
      <w:r>
        <w:rPr>
          <w:vertAlign w:val="superscript"/>
        </w:rPr>
        <w:tab/>
      </w:r>
      <w:r>
        <w:rPr>
          <w:color w:val="000000"/>
        </w:rPr>
        <w:t>https://joint-research-centre.ec.europa.eu/laboratories-z/battery-energy-storage-testing_en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0707D"/>
    <w:multiLevelType w:val="hybridMultilevel"/>
    <w:tmpl w:val="57D4DB88"/>
    <w:lvl w:ilvl="0" w:tplc="A4468612">
      <w:start w:val="1"/>
      <w:numFmt w:val="decimal"/>
      <w:lvlText w:val="%1."/>
      <w:lvlJc w:val="right"/>
      <w:pPr>
        <w:ind w:left="500" w:hanging="180"/>
      </w:pPr>
    </w:lvl>
    <w:lvl w:ilvl="1" w:tplc="F736967A">
      <w:start w:val="1"/>
      <w:numFmt w:val="decimal"/>
      <w:lvlText w:val="%2."/>
      <w:lvlJc w:val="right"/>
      <w:pPr>
        <w:ind w:left="1000" w:hanging="180"/>
      </w:pPr>
    </w:lvl>
    <w:lvl w:ilvl="2" w:tplc="4ABC6458">
      <w:start w:val="1"/>
      <w:numFmt w:val="decimal"/>
      <w:lvlText w:val="%3."/>
      <w:lvlJc w:val="right"/>
      <w:pPr>
        <w:ind w:left="1500" w:hanging="180"/>
      </w:pPr>
    </w:lvl>
    <w:lvl w:ilvl="3" w:tplc="F4EA637E">
      <w:start w:val="1"/>
      <w:numFmt w:val="decimal"/>
      <w:lvlText w:val="%4."/>
      <w:lvlJc w:val="right"/>
      <w:pPr>
        <w:ind w:left="2000" w:hanging="180"/>
      </w:pPr>
    </w:lvl>
    <w:lvl w:ilvl="4" w:tplc="4530D120">
      <w:start w:val="1"/>
      <w:numFmt w:val="decimal"/>
      <w:lvlText w:val="%5."/>
      <w:lvlJc w:val="right"/>
      <w:pPr>
        <w:ind w:left="2500" w:hanging="180"/>
      </w:pPr>
    </w:lvl>
    <w:lvl w:ilvl="5" w:tplc="3B7C830A">
      <w:start w:val="1"/>
      <w:numFmt w:val="decimal"/>
      <w:lvlText w:val="%6."/>
      <w:lvlJc w:val="right"/>
      <w:pPr>
        <w:ind w:left="3000" w:hanging="180"/>
      </w:pPr>
    </w:lvl>
    <w:lvl w:ilvl="6" w:tplc="B1EC615A">
      <w:start w:val="1"/>
      <w:numFmt w:val="decimal"/>
      <w:lvlText w:val="%7."/>
      <w:lvlJc w:val="right"/>
      <w:pPr>
        <w:ind w:left="3500" w:hanging="180"/>
      </w:pPr>
    </w:lvl>
    <w:lvl w:ilvl="7" w:tplc="202A49C6">
      <w:start w:val="1"/>
      <w:numFmt w:val="decimal"/>
      <w:lvlText w:val="%8."/>
      <w:lvlJc w:val="right"/>
      <w:pPr>
        <w:ind w:left="4000" w:hanging="180"/>
      </w:pPr>
    </w:lvl>
    <w:lvl w:ilvl="8" w:tplc="A5AE8764">
      <w:start w:val="1"/>
      <w:numFmt w:val="decimal"/>
      <w:lvlText w:val="%9."/>
      <w:lvlJc w:val="right"/>
      <w:pPr>
        <w:ind w:left="4500" w:hanging="180"/>
      </w:pPr>
    </w:lvl>
  </w:abstractNum>
  <w:abstractNum w:abstractNumId="1" w15:restartNumberingAfterBreak="0">
    <w:nsid w:val="03D70B37"/>
    <w:multiLevelType w:val="hybridMultilevel"/>
    <w:tmpl w:val="D5AA8746"/>
    <w:lvl w:ilvl="0" w:tplc="F6CEC45E">
      <w:start w:val="1"/>
      <w:numFmt w:val="decimal"/>
      <w:lvlText w:val="%1."/>
      <w:lvlJc w:val="right"/>
      <w:pPr>
        <w:ind w:left="500" w:hanging="180"/>
      </w:pPr>
    </w:lvl>
    <w:lvl w:ilvl="1" w:tplc="C81C6290">
      <w:start w:val="1"/>
      <w:numFmt w:val="decimal"/>
      <w:lvlText w:val="%2."/>
      <w:lvlJc w:val="right"/>
      <w:pPr>
        <w:ind w:left="1000" w:hanging="180"/>
      </w:pPr>
    </w:lvl>
    <w:lvl w:ilvl="2" w:tplc="B57AB2EC">
      <w:start w:val="1"/>
      <w:numFmt w:val="decimal"/>
      <w:lvlText w:val="%3."/>
      <w:lvlJc w:val="right"/>
      <w:pPr>
        <w:ind w:left="1500" w:hanging="180"/>
      </w:pPr>
    </w:lvl>
    <w:lvl w:ilvl="3" w:tplc="7E0E82C4">
      <w:start w:val="1"/>
      <w:numFmt w:val="decimal"/>
      <w:lvlText w:val="%4."/>
      <w:lvlJc w:val="right"/>
      <w:pPr>
        <w:ind w:left="2000" w:hanging="180"/>
      </w:pPr>
    </w:lvl>
    <w:lvl w:ilvl="4" w:tplc="197027BA">
      <w:start w:val="1"/>
      <w:numFmt w:val="decimal"/>
      <w:lvlText w:val="%5."/>
      <w:lvlJc w:val="right"/>
      <w:pPr>
        <w:ind w:left="2500" w:hanging="180"/>
      </w:pPr>
    </w:lvl>
    <w:lvl w:ilvl="5" w:tplc="62CA60B0">
      <w:start w:val="1"/>
      <w:numFmt w:val="decimal"/>
      <w:lvlText w:val="%6."/>
      <w:lvlJc w:val="right"/>
      <w:pPr>
        <w:ind w:left="3000" w:hanging="180"/>
      </w:pPr>
    </w:lvl>
    <w:lvl w:ilvl="6" w:tplc="9C5CF400">
      <w:start w:val="1"/>
      <w:numFmt w:val="decimal"/>
      <w:lvlText w:val="%7."/>
      <w:lvlJc w:val="right"/>
      <w:pPr>
        <w:ind w:left="3500" w:hanging="180"/>
      </w:pPr>
    </w:lvl>
    <w:lvl w:ilvl="7" w:tplc="5E7653FC">
      <w:start w:val="1"/>
      <w:numFmt w:val="decimal"/>
      <w:lvlText w:val="%8."/>
      <w:lvlJc w:val="right"/>
      <w:pPr>
        <w:ind w:left="4000" w:hanging="180"/>
      </w:pPr>
    </w:lvl>
    <w:lvl w:ilvl="8" w:tplc="532041AA">
      <w:start w:val="1"/>
      <w:numFmt w:val="decimal"/>
      <w:lvlText w:val="%9."/>
      <w:lvlJc w:val="right"/>
      <w:pPr>
        <w:ind w:left="4500" w:hanging="180"/>
      </w:pPr>
    </w:lvl>
  </w:abstractNum>
  <w:abstractNum w:abstractNumId="2" w15:restartNumberingAfterBreak="0">
    <w:nsid w:val="11812D3D"/>
    <w:multiLevelType w:val="hybridMultilevel"/>
    <w:tmpl w:val="6D7E01C8"/>
    <w:lvl w:ilvl="0" w:tplc="908CAECC">
      <w:start w:val="1"/>
      <w:numFmt w:val="decimal"/>
      <w:pStyle w:val="NumberParagraphLevel2"/>
      <w:lvlText w:val="%1."/>
      <w:lvlJc w:val="right"/>
      <w:pPr>
        <w:ind w:left="500" w:hanging="180"/>
      </w:pPr>
    </w:lvl>
    <w:lvl w:ilvl="1" w:tplc="7E724030">
      <w:start w:val="1"/>
      <w:numFmt w:val="decimal"/>
      <w:lvlText w:val="%2."/>
      <w:lvlJc w:val="right"/>
      <w:pPr>
        <w:ind w:left="1000" w:hanging="180"/>
      </w:pPr>
    </w:lvl>
    <w:lvl w:ilvl="2" w:tplc="E6E212BC">
      <w:start w:val="1"/>
      <w:numFmt w:val="decimal"/>
      <w:lvlText w:val="%3."/>
      <w:lvlJc w:val="right"/>
      <w:pPr>
        <w:ind w:left="1500" w:hanging="180"/>
      </w:pPr>
    </w:lvl>
    <w:lvl w:ilvl="3" w:tplc="FC9C7A02">
      <w:start w:val="1"/>
      <w:numFmt w:val="decimal"/>
      <w:lvlText w:val="%4."/>
      <w:lvlJc w:val="right"/>
      <w:pPr>
        <w:ind w:left="2000" w:hanging="180"/>
      </w:pPr>
    </w:lvl>
    <w:lvl w:ilvl="4" w:tplc="31AAB182">
      <w:start w:val="1"/>
      <w:numFmt w:val="decimal"/>
      <w:lvlText w:val="%5."/>
      <w:lvlJc w:val="right"/>
      <w:pPr>
        <w:ind w:left="2500" w:hanging="180"/>
      </w:pPr>
    </w:lvl>
    <w:lvl w:ilvl="5" w:tplc="4560DC62">
      <w:start w:val="1"/>
      <w:numFmt w:val="decimal"/>
      <w:lvlText w:val="%6."/>
      <w:lvlJc w:val="right"/>
      <w:pPr>
        <w:ind w:left="3000" w:hanging="180"/>
      </w:pPr>
    </w:lvl>
    <w:lvl w:ilvl="6" w:tplc="46E2BA34">
      <w:start w:val="1"/>
      <w:numFmt w:val="decimal"/>
      <w:lvlText w:val="%7."/>
      <w:lvlJc w:val="right"/>
      <w:pPr>
        <w:ind w:left="3500" w:hanging="180"/>
      </w:pPr>
    </w:lvl>
    <w:lvl w:ilvl="7" w:tplc="EB2ED572">
      <w:start w:val="1"/>
      <w:numFmt w:val="decimal"/>
      <w:lvlText w:val="%8."/>
      <w:lvlJc w:val="right"/>
      <w:pPr>
        <w:ind w:left="4000" w:hanging="180"/>
      </w:pPr>
    </w:lvl>
    <w:lvl w:ilvl="8" w:tplc="2A6E33DA">
      <w:start w:val="1"/>
      <w:numFmt w:val="decimal"/>
      <w:lvlText w:val="%9."/>
      <w:lvlJc w:val="right"/>
      <w:pPr>
        <w:ind w:left="4500" w:hanging="180"/>
      </w:pPr>
    </w:lvl>
  </w:abstractNum>
  <w:abstractNum w:abstractNumId="3" w15:restartNumberingAfterBreak="0">
    <w:nsid w:val="154D62D8"/>
    <w:multiLevelType w:val="hybridMultilevel"/>
    <w:tmpl w:val="9610813C"/>
    <w:name w:val="CPSNumberingScheme"/>
    <w:lvl w:ilvl="0" w:tplc="5768BC50">
      <w:start w:val="1"/>
      <w:numFmt w:val="decimal"/>
      <w:pStyle w:val="BulletParagraph"/>
      <w:lvlText w:val="%1."/>
      <w:lvlJc w:val="right"/>
      <w:pPr>
        <w:ind w:left="500" w:hanging="180"/>
      </w:pPr>
    </w:lvl>
    <w:lvl w:ilvl="1" w:tplc="D24405EE">
      <w:start w:val="1"/>
      <w:numFmt w:val="decimal"/>
      <w:lvlText w:val="%2."/>
      <w:lvlJc w:val="right"/>
      <w:pPr>
        <w:ind w:left="1000" w:hanging="180"/>
      </w:pPr>
    </w:lvl>
    <w:lvl w:ilvl="2" w:tplc="DAA8EAEE">
      <w:start w:val="1"/>
      <w:numFmt w:val="decimal"/>
      <w:lvlText w:val="%3."/>
      <w:lvlJc w:val="right"/>
      <w:pPr>
        <w:ind w:left="1500" w:hanging="180"/>
      </w:pPr>
    </w:lvl>
    <w:lvl w:ilvl="3" w:tplc="2B3E5DF4">
      <w:start w:val="1"/>
      <w:numFmt w:val="decimal"/>
      <w:lvlText w:val="%4."/>
      <w:lvlJc w:val="right"/>
      <w:pPr>
        <w:ind w:left="2000" w:hanging="180"/>
      </w:pPr>
    </w:lvl>
    <w:lvl w:ilvl="4" w:tplc="B82296BA">
      <w:start w:val="1"/>
      <w:numFmt w:val="decimal"/>
      <w:lvlText w:val="%5."/>
      <w:lvlJc w:val="right"/>
      <w:pPr>
        <w:ind w:left="2500" w:hanging="180"/>
      </w:pPr>
    </w:lvl>
    <w:lvl w:ilvl="5" w:tplc="E57AFBAA">
      <w:start w:val="1"/>
      <w:numFmt w:val="decimal"/>
      <w:lvlText w:val="%6."/>
      <w:lvlJc w:val="right"/>
      <w:pPr>
        <w:ind w:left="3000" w:hanging="180"/>
      </w:pPr>
    </w:lvl>
    <w:lvl w:ilvl="6" w:tplc="353822F4">
      <w:start w:val="1"/>
      <w:numFmt w:val="decimal"/>
      <w:lvlText w:val="%7."/>
      <w:lvlJc w:val="right"/>
      <w:pPr>
        <w:ind w:left="3500" w:hanging="180"/>
      </w:pPr>
    </w:lvl>
    <w:lvl w:ilvl="7" w:tplc="4EF20C7E">
      <w:start w:val="1"/>
      <w:numFmt w:val="decimal"/>
      <w:lvlText w:val="%8."/>
      <w:lvlJc w:val="right"/>
      <w:pPr>
        <w:ind w:left="4000" w:hanging="180"/>
      </w:pPr>
    </w:lvl>
    <w:lvl w:ilvl="8" w:tplc="A1384A50">
      <w:start w:val="1"/>
      <w:numFmt w:val="decimal"/>
      <w:lvlText w:val="%9."/>
      <w:lvlJc w:val="right"/>
      <w:pPr>
        <w:ind w:left="4500" w:hanging="180"/>
      </w:pPr>
    </w:lvl>
  </w:abstractNum>
  <w:abstractNum w:abstractNumId="4" w15:restartNumberingAfterBreak="0">
    <w:nsid w:val="1EC21F4B"/>
    <w:multiLevelType w:val="hybridMultilevel"/>
    <w:tmpl w:val="6DEEC024"/>
    <w:lvl w:ilvl="0" w:tplc="DBB2C49E">
      <w:start w:val="1"/>
      <w:numFmt w:val="decimal"/>
      <w:lvlText w:val="%1."/>
      <w:lvlJc w:val="right"/>
      <w:pPr>
        <w:ind w:left="500" w:hanging="180"/>
      </w:pPr>
    </w:lvl>
    <w:lvl w:ilvl="1" w:tplc="9DD45D2E">
      <w:start w:val="1"/>
      <w:numFmt w:val="decimal"/>
      <w:lvlText w:val="%2."/>
      <w:lvlJc w:val="right"/>
      <w:pPr>
        <w:ind w:left="1000" w:hanging="180"/>
      </w:pPr>
    </w:lvl>
    <w:lvl w:ilvl="2" w:tplc="37E22262">
      <w:start w:val="1"/>
      <w:numFmt w:val="decimal"/>
      <w:lvlText w:val="%3."/>
      <w:lvlJc w:val="right"/>
      <w:pPr>
        <w:ind w:left="1500" w:hanging="180"/>
      </w:pPr>
    </w:lvl>
    <w:lvl w:ilvl="3" w:tplc="78EA0F9E">
      <w:start w:val="1"/>
      <w:numFmt w:val="decimal"/>
      <w:lvlText w:val="%4."/>
      <w:lvlJc w:val="right"/>
      <w:pPr>
        <w:ind w:left="2000" w:hanging="180"/>
      </w:pPr>
    </w:lvl>
    <w:lvl w:ilvl="4" w:tplc="947A8698">
      <w:start w:val="1"/>
      <w:numFmt w:val="decimal"/>
      <w:lvlText w:val="%5."/>
      <w:lvlJc w:val="right"/>
      <w:pPr>
        <w:ind w:left="2500" w:hanging="180"/>
      </w:pPr>
    </w:lvl>
    <w:lvl w:ilvl="5" w:tplc="0BDC55C2">
      <w:start w:val="1"/>
      <w:numFmt w:val="decimal"/>
      <w:lvlText w:val="%6."/>
      <w:lvlJc w:val="right"/>
      <w:pPr>
        <w:ind w:left="3000" w:hanging="180"/>
      </w:pPr>
    </w:lvl>
    <w:lvl w:ilvl="6" w:tplc="68AAAFCA">
      <w:start w:val="1"/>
      <w:numFmt w:val="decimal"/>
      <w:lvlText w:val="%7."/>
      <w:lvlJc w:val="right"/>
      <w:pPr>
        <w:ind w:left="3500" w:hanging="180"/>
      </w:pPr>
    </w:lvl>
    <w:lvl w:ilvl="7" w:tplc="56C8C9A8">
      <w:start w:val="1"/>
      <w:numFmt w:val="decimal"/>
      <w:lvlText w:val="%8."/>
      <w:lvlJc w:val="right"/>
      <w:pPr>
        <w:ind w:left="4000" w:hanging="180"/>
      </w:pPr>
    </w:lvl>
    <w:lvl w:ilvl="8" w:tplc="AE1E65FC">
      <w:start w:val="1"/>
      <w:numFmt w:val="decimal"/>
      <w:lvlText w:val="%9."/>
      <w:lvlJc w:val="right"/>
      <w:pPr>
        <w:ind w:left="4500" w:hanging="180"/>
      </w:pPr>
    </w:lvl>
  </w:abstractNum>
  <w:abstractNum w:abstractNumId="5" w15:restartNumberingAfterBreak="0">
    <w:nsid w:val="2D02531D"/>
    <w:multiLevelType w:val="hybridMultilevel"/>
    <w:tmpl w:val="7F9AAF84"/>
    <w:lvl w:ilvl="0" w:tplc="D8CA7846">
      <w:start w:val="1"/>
      <w:numFmt w:val="decimal"/>
      <w:lvlText w:val="%1."/>
      <w:lvlJc w:val="right"/>
      <w:pPr>
        <w:ind w:left="500" w:hanging="180"/>
      </w:pPr>
    </w:lvl>
    <w:lvl w:ilvl="1" w:tplc="7E4A5E14">
      <w:start w:val="1"/>
      <w:numFmt w:val="decimal"/>
      <w:lvlText w:val="%2."/>
      <w:lvlJc w:val="right"/>
      <w:pPr>
        <w:ind w:left="1000" w:hanging="180"/>
      </w:pPr>
    </w:lvl>
    <w:lvl w:ilvl="2" w:tplc="9F063B40">
      <w:start w:val="1"/>
      <w:numFmt w:val="decimal"/>
      <w:lvlText w:val="%3."/>
      <w:lvlJc w:val="right"/>
      <w:pPr>
        <w:ind w:left="1500" w:hanging="180"/>
      </w:pPr>
    </w:lvl>
    <w:lvl w:ilvl="3" w:tplc="83468230">
      <w:start w:val="1"/>
      <w:numFmt w:val="decimal"/>
      <w:lvlText w:val="%4."/>
      <w:lvlJc w:val="right"/>
      <w:pPr>
        <w:ind w:left="2000" w:hanging="180"/>
      </w:pPr>
    </w:lvl>
    <w:lvl w:ilvl="4" w:tplc="F0301C18">
      <w:start w:val="1"/>
      <w:numFmt w:val="decimal"/>
      <w:lvlText w:val="%5."/>
      <w:lvlJc w:val="right"/>
      <w:pPr>
        <w:ind w:left="2500" w:hanging="180"/>
      </w:pPr>
    </w:lvl>
    <w:lvl w:ilvl="5" w:tplc="4A4EEDDC">
      <w:start w:val="1"/>
      <w:numFmt w:val="decimal"/>
      <w:lvlText w:val="%6."/>
      <w:lvlJc w:val="right"/>
      <w:pPr>
        <w:ind w:left="3000" w:hanging="180"/>
      </w:pPr>
    </w:lvl>
    <w:lvl w:ilvl="6" w:tplc="93525A42">
      <w:start w:val="1"/>
      <w:numFmt w:val="decimal"/>
      <w:lvlText w:val="%7."/>
      <w:lvlJc w:val="right"/>
      <w:pPr>
        <w:ind w:left="3500" w:hanging="180"/>
      </w:pPr>
    </w:lvl>
    <w:lvl w:ilvl="7" w:tplc="27F419E2">
      <w:start w:val="1"/>
      <w:numFmt w:val="decimal"/>
      <w:lvlText w:val="%8."/>
      <w:lvlJc w:val="right"/>
      <w:pPr>
        <w:ind w:left="4000" w:hanging="180"/>
      </w:pPr>
    </w:lvl>
    <w:lvl w:ilvl="8" w:tplc="465A374A">
      <w:start w:val="1"/>
      <w:numFmt w:val="decimal"/>
      <w:lvlText w:val="%9."/>
      <w:lvlJc w:val="right"/>
      <w:pPr>
        <w:ind w:left="4500" w:hanging="180"/>
      </w:pPr>
    </w:lvl>
  </w:abstractNum>
  <w:abstractNum w:abstractNumId="6" w15:restartNumberingAfterBreak="0">
    <w:nsid w:val="2F5462B8"/>
    <w:multiLevelType w:val="hybridMultilevel"/>
    <w:tmpl w:val="D6CC10E2"/>
    <w:lvl w:ilvl="0" w:tplc="FAFAD9BE">
      <w:start w:val="1"/>
      <w:numFmt w:val="decimal"/>
      <w:lvlText w:val="%1."/>
      <w:lvlJc w:val="right"/>
      <w:pPr>
        <w:ind w:left="500" w:hanging="180"/>
      </w:pPr>
    </w:lvl>
    <w:lvl w:ilvl="1" w:tplc="E758B5A2">
      <w:start w:val="1"/>
      <w:numFmt w:val="decimal"/>
      <w:lvlText w:val="%2."/>
      <w:lvlJc w:val="right"/>
      <w:pPr>
        <w:ind w:left="1000" w:hanging="180"/>
      </w:pPr>
    </w:lvl>
    <w:lvl w:ilvl="2" w:tplc="7472D90A">
      <w:start w:val="1"/>
      <w:numFmt w:val="decimal"/>
      <w:lvlText w:val="%3."/>
      <w:lvlJc w:val="right"/>
      <w:pPr>
        <w:ind w:left="1500" w:hanging="180"/>
      </w:pPr>
    </w:lvl>
    <w:lvl w:ilvl="3" w:tplc="D170425E">
      <w:start w:val="1"/>
      <w:numFmt w:val="decimal"/>
      <w:lvlText w:val="%4."/>
      <w:lvlJc w:val="right"/>
      <w:pPr>
        <w:ind w:left="2000" w:hanging="180"/>
      </w:pPr>
    </w:lvl>
    <w:lvl w:ilvl="4" w:tplc="78B89A48">
      <w:start w:val="1"/>
      <w:numFmt w:val="decimal"/>
      <w:lvlText w:val="%5."/>
      <w:lvlJc w:val="right"/>
      <w:pPr>
        <w:ind w:left="2500" w:hanging="180"/>
      </w:pPr>
    </w:lvl>
    <w:lvl w:ilvl="5" w:tplc="2D324388">
      <w:start w:val="1"/>
      <w:numFmt w:val="decimal"/>
      <w:lvlText w:val="%6."/>
      <w:lvlJc w:val="right"/>
      <w:pPr>
        <w:ind w:left="3000" w:hanging="180"/>
      </w:pPr>
    </w:lvl>
    <w:lvl w:ilvl="6" w:tplc="1D2EF450">
      <w:start w:val="1"/>
      <w:numFmt w:val="decimal"/>
      <w:lvlText w:val="%7."/>
      <w:lvlJc w:val="right"/>
      <w:pPr>
        <w:ind w:left="3500" w:hanging="180"/>
      </w:pPr>
    </w:lvl>
    <w:lvl w:ilvl="7" w:tplc="50706D12">
      <w:start w:val="1"/>
      <w:numFmt w:val="decimal"/>
      <w:lvlText w:val="%8."/>
      <w:lvlJc w:val="right"/>
      <w:pPr>
        <w:ind w:left="4000" w:hanging="180"/>
      </w:pPr>
    </w:lvl>
    <w:lvl w:ilvl="8" w:tplc="A766732E">
      <w:start w:val="1"/>
      <w:numFmt w:val="decimal"/>
      <w:lvlText w:val="%9."/>
      <w:lvlJc w:val="right"/>
      <w:pPr>
        <w:ind w:left="4500" w:hanging="180"/>
      </w:pPr>
    </w:lvl>
  </w:abstractNum>
  <w:abstractNum w:abstractNumId="7" w15:restartNumberingAfterBreak="0">
    <w:nsid w:val="30114B83"/>
    <w:multiLevelType w:val="hybridMultilevel"/>
    <w:tmpl w:val="2D44D8D2"/>
    <w:lvl w:ilvl="0" w:tplc="6D28F4AA">
      <w:start w:val="1"/>
      <w:numFmt w:val="decimal"/>
      <w:lvlText w:val="%1."/>
      <w:lvlJc w:val="right"/>
      <w:pPr>
        <w:ind w:left="500" w:hanging="180"/>
      </w:pPr>
    </w:lvl>
    <w:lvl w:ilvl="1" w:tplc="E71C9E48">
      <w:start w:val="1"/>
      <w:numFmt w:val="decimal"/>
      <w:lvlText w:val="%2."/>
      <w:lvlJc w:val="right"/>
      <w:pPr>
        <w:ind w:left="1000" w:hanging="180"/>
      </w:pPr>
    </w:lvl>
    <w:lvl w:ilvl="2" w:tplc="9F146F92">
      <w:start w:val="1"/>
      <w:numFmt w:val="decimal"/>
      <w:lvlText w:val="%3."/>
      <w:lvlJc w:val="right"/>
      <w:pPr>
        <w:ind w:left="1500" w:hanging="180"/>
      </w:pPr>
    </w:lvl>
    <w:lvl w:ilvl="3" w:tplc="A502A7C4">
      <w:start w:val="1"/>
      <w:numFmt w:val="decimal"/>
      <w:lvlText w:val="%4."/>
      <w:lvlJc w:val="right"/>
      <w:pPr>
        <w:ind w:left="2000" w:hanging="180"/>
      </w:pPr>
    </w:lvl>
    <w:lvl w:ilvl="4" w:tplc="7F30E33E">
      <w:start w:val="1"/>
      <w:numFmt w:val="decimal"/>
      <w:lvlText w:val="%5."/>
      <w:lvlJc w:val="right"/>
      <w:pPr>
        <w:ind w:left="2500" w:hanging="180"/>
      </w:pPr>
    </w:lvl>
    <w:lvl w:ilvl="5" w:tplc="70EA4850">
      <w:start w:val="1"/>
      <w:numFmt w:val="decimal"/>
      <w:lvlText w:val="%6."/>
      <w:lvlJc w:val="right"/>
      <w:pPr>
        <w:ind w:left="3000" w:hanging="180"/>
      </w:pPr>
    </w:lvl>
    <w:lvl w:ilvl="6" w:tplc="A4BE79C4">
      <w:start w:val="1"/>
      <w:numFmt w:val="decimal"/>
      <w:lvlText w:val="%7."/>
      <w:lvlJc w:val="right"/>
      <w:pPr>
        <w:ind w:left="3500" w:hanging="180"/>
      </w:pPr>
    </w:lvl>
    <w:lvl w:ilvl="7" w:tplc="F0B26EB0">
      <w:start w:val="1"/>
      <w:numFmt w:val="decimal"/>
      <w:lvlText w:val="%8."/>
      <w:lvlJc w:val="right"/>
      <w:pPr>
        <w:ind w:left="4000" w:hanging="180"/>
      </w:pPr>
    </w:lvl>
    <w:lvl w:ilvl="8" w:tplc="C784B962">
      <w:start w:val="1"/>
      <w:numFmt w:val="decimal"/>
      <w:lvlText w:val="%9."/>
      <w:lvlJc w:val="right"/>
      <w:pPr>
        <w:ind w:left="4500" w:hanging="180"/>
      </w:pPr>
    </w:lvl>
  </w:abstractNum>
  <w:abstractNum w:abstractNumId="8" w15:restartNumberingAfterBreak="0">
    <w:nsid w:val="367435A6"/>
    <w:multiLevelType w:val="hybridMultilevel"/>
    <w:tmpl w:val="BEDEE9B8"/>
    <w:lvl w:ilvl="0" w:tplc="B5F27616">
      <w:start w:val="1"/>
      <w:numFmt w:val="decimal"/>
      <w:lvlText w:val="%1."/>
      <w:lvlJc w:val="right"/>
      <w:pPr>
        <w:ind w:left="500" w:hanging="180"/>
      </w:pPr>
    </w:lvl>
    <w:lvl w:ilvl="1" w:tplc="CA6E5E7C">
      <w:start w:val="1"/>
      <w:numFmt w:val="decimal"/>
      <w:lvlText w:val="%2."/>
      <w:lvlJc w:val="right"/>
      <w:pPr>
        <w:ind w:left="1000" w:hanging="180"/>
      </w:pPr>
    </w:lvl>
    <w:lvl w:ilvl="2" w:tplc="410A8B10">
      <w:start w:val="1"/>
      <w:numFmt w:val="decimal"/>
      <w:lvlText w:val="%3."/>
      <w:lvlJc w:val="right"/>
      <w:pPr>
        <w:ind w:left="1500" w:hanging="180"/>
      </w:pPr>
    </w:lvl>
    <w:lvl w:ilvl="3" w:tplc="500C3828">
      <w:start w:val="1"/>
      <w:numFmt w:val="decimal"/>
      <w:lvlText w:val="%4."/>
      <w:lvlJc w:val="right"/>
      <w:pPr>
        <w:ind w:left="2000" w:hanging="180"/>
      </w:pPr>
    </w:lvl>
    <w:lvl w:ilvl="4" w:tplc="AAFC1BBE">
      <w:start w:val="1"/>
      <w:numFmt w:val="decimal"/>
      <w:lvlText w:val="%5."/>
      <w:lvlJc w:val="right"/>
      <w:pPr>
        <w:ind w:left="2500" w:hanging="180"/>
      </w:pPr>
    </w:lvl>
    <w:lvl w:ilvl="5" w:tplc="BE20757A">
      <w:start w:val="1"/>
      <w:numFmt w:val="decimal"/>
      <w:lvlText w:val="%6."/>
      <w:lvlJc w:val="right"/>
      <w:pPr>
        <w:ind w:left="3000" w:hanging="180"/>
      </w:pPr>
    </w:lvl>
    <w:lvl w:ilvl="6" w:tplc="6BFE7CB2">
      <w:start w:val="1"/>
      <w:numFmt w:val="decimal"/>
      <w:lvlText w:val="%7."/>
      <w:lvlJc w:val="right"/>
      <w:pPr>
        <w:ind w:left="3500" w:hanging="180"/>
      </w:pPr>
    </w:lvl>
    <w:lvl w:ilvl="7" w:tplc="313EA734">
      <w:start w:val="1"/>
      <w:numFmt w:val="decimal"/>
      <w:lvlText w:val="%8."/>
      <w:lvlJc w:val="right"/>
      <w:pPr>
        <w:ind w:left="4000" w:hanging="180"/>
      </w:pPr>
    </w:lvl>
    <w:lvl w:ilvl="8" w:tplc="0A3E4778">
      <w:start w:val="1"/>
      <w:numFmt w:val="decimal"/>
      <w:lvlText w:val="%9."/>
      <w:lvlJc w:val="right"/>
      <w:pPr>
        <w:ind w:left="4500" w:hanging="180"/>
      </w:pPr>
    </w:lvl>
  </w:abstractNum>
  <w:abstractNum w:abstractNumId="9" w15:restartNumberingAfterBreak="0">
    <w:nsid w:val="4B901D52"/>
    <w:multiLevelType w:val="hybridMultilevel"/>
    <w:tmpl w:val="30105A8A"/>
    <w:lvl w:ilvl="0" w:tplc="BC1AE1D4">
      <w:start w:val="1"/>
      <w:numFmt w:val="decimal"/>
      <w:lvlText w:val="%1."/>
      <w:lvlJc w:val="right"/>
      <w:pPr>
        <w:ind w:left="500" w:hanging="180"/>
      </w:pPr>
    </w:lvl>
    <w:lvl w:ilvl="1" w:tplc="45183906">
      <w:start w:val="1"/>
      <w:numFmt w:val="decimal"/>
      <w:lvlText w:val="%2."/>
      <w:lvlJc w:val="right"/>
      <w:pPr>
        <w:ind w:left="1000" w:hanging="180"/>
      </w:pPr>
    </w:lvl>
    <w:lvl w:ilvl="2" w:tplc="02DC14C0">
      <w:start w:val="1"/>
      <w:numFmt w:val="decimal"/>
      <w:lvlText w:val="%3."/>
      <w:lvlJc w:val="right"/>
      <w:pPr>
        <w:ind w:left="1500" w:hanging="180"/>
      </w:pPr>
    </w:lvl>
    <w:lvl w:ilvl="3" w:tplc="6B3AF16C">
      <w:start w:val="1"/>
      <w:numFmt w:val="decimal"/>
      <w:lvlText w:val="%4."/>
      <w:lvlJc w:val="right"/>
      <w:pPr>
        <w:ind w:left="2000" w:hanging="180"/>
      </w:pPr>
    </w:lvl>
    <w:lvl w:ilvl="4" w:tplc="7F04247A">
      <w:start w:val="1"/>
      <w:numFmt w:val="decimal"/>
      <w:lvlText w:val="%5."/>
      <w:lvlJc w:val="right"/>
      <w:pPr>
        <w:ind w:left="2500" w:hanging="180"/>
      </w:pPr>
    </w:lvl>
    <w:lvl w:ilvl="5" w:tplc="C1CEA028">
      <w:start w:val="1"/>
      <w:numFmt w:val="decimal"/>
      <w:lvlText w:val="%6."/>
      <w:lvlJc w:val="right"/>
      <w:pPr>
        <w:ind w:left="3000" w:hanging="180"/>
      </w:pPr>
    </w:lvl>
    <w:lvl w:ilvl="6" w:tplc="CF2095CC">
      <w:start w:val="1"/>
      <w:numFmt w:val="decimal"/>
      <w:lvlText w:val="%7."/>
      <w:lvlJc w:val="right"/>
      <w:pPr>
        <w:ind w:left="3500" w:hanging="180"/>
      </w:pPr>
    </w:lvl>
    <w:lvl w:ilvl="7" w:tplc="30105AB6">
      <w:start w:val="1"/>
      <w:numFmt w:val="decimal"/>
      <w:lvlText w:val="%8."/>
      <w:lvlJc w:val="right"/>
      <w:pPr>
        <w:ind w:left="4000" w:hanging="180"/>
      </w:pPr>
    </w:lvl>
    <w:lvl w:ilvl="8" w:tplc="74509BFE">
      <w:start w:val="1"/>
      <w:numFmt w:val="decimal"/>
      <w:lvlText w:val="%9."/>
      <w:lvlJc w:val="right"/>
      <w:pPr>
        <w:ind w:left="4500" w:hanging="180"/>
      </w:pPr>
    </w:lvl>
  </w:abstractNum>
  <w:abstractNum w:abstractNumId="10" w15:restartNumberingAfterBreak="0">
    <w:nsid w:val="4CBC7C45"/>
    <w:multiLevelType w:val="hybridMultilevel"/>
    <w:tmpl w:val="51D26538"/>
    <w:lvl w:ilvl="0" w:tplc="924CF91C">
      <w:start w:val="1"/>
      <w:numFmt w:val="decimal"/>
      <w:lvlText w:val="%1."/>
      <w:lvlJc w:val="right"/>
      <w:pPr>
        <w:ind w:left="500" w:hanging="180"/>
      </w:pPr>
    </w:lvl>
    <w:lvl w:ilvl="1" w:tplc="2B28FA72">
      <w:start w:val="1"/>
      <w:numFmt w:val="decimal"/>
      <w:lvlText w:val="%2."/>
      <w:lvlJc w:val="right"/>
      <w:pPr>
        <w:ind w:left="1000" w:hanging="180"/>
      </w:pPr>
    </w:lvl>
    <w:lvl w:ilvl="2" w:tplc="8A4ADC00">
      <w:start w:val="1"/>
      <w:numFmt w:val="decimal"/>
      <w:lvlText w:val="%3."/>
      <w:lvlJc w:val="right"/>
      <w:pPr>
        <w:ind w:left="1500" w:hanging="180"/>
      </w:pPr>
    </w:lvl>
    <w:lvl w:ilvl="3" w:tplc="A8987C20">
      <w:start w:val="1"/>
      <w:numFmt w:val="decimal"/>
      <w:lvlText w:val="%4."/>
      <w:lvlJc w:val="right"/>
      <w:pPr>
        <w:ind w:left="2000" w:hanging="180"/>
      </w:pPr>
    </w:lvl>
    <w:lvl w:ilvl="4" w:tplc="5EC63470">
      <w:start w:val="1"/>
      <w:numFmt w:val="decimal"/>
      <w:lvlText w:val="%5."/>
      <w:lvlJc w:val="right"/>
      <w:pPr>
        <w:ind w:left="2500" w:hanging="180"/>
      </w:pPr>
    </w:lvl>
    <w:lvl w:ilvl="5" w:tplc="1D5CADF2">
      <w:start w:val="1"/>
      <w:numFmt w:val="decimal"/>
      <w:lvlText w:val="%6."/>
      <w:lvlJc w:val="right"/>
      <w:pPr>
        <w:ind w:left="3000" w:hanging="180"/>
      </w:pPr>
    </w:lvl>
    <w:lvl w:ilvl="6" w:tplc="BB46026C">
      <w:start w:val="1"/>
      <w:numFmt w:val="decimal"/>
      <w:lvlText w:val="%7."/>
      <w:lvlJc w:val="right"/>
      <w:pPr>
        <w:ind w:left="3500" w:hanging="180"/>
      </w:pPr>
    </w:lvl>
    <w:lvl w:ilvl="7" w:tplc="2CA061B8">
      <w:start w:val="1"/>
      <w:numFmt w:val="decimal"/>
      <w:lvlText w:val="%8."/>
      <w:lvlJc w:val="right"/>
      <w:pPr>
        <w:ind w:left="4000" w:hanging="180"/>
      </w:pPr>
    </w:lvl>
    <w:lvl w:ilvl="8" w:tplc="6EC4F774">
      <w:start w:val="1"/>
      <w:numFmt w:val="decimal"/>
      <w:lvlText w:val="%9."/>
      <w:lvlJc w:val="right"/>
      <w:pPr>
        <w:ind w:left="4500" w:hanging="180"/>
      </w:pPr>
    </w:lvl>
  </w:abstractNum>
  <w:abstractNum w:abstractNumId="11" w15:restartNumberingAfterBreak="0">
    <w:nsid w:val="50E23006"/>
    <w:multiLevelType w:val="hybridMultilevel"/>
    <w:tmpl w:val="300E1490"/>
    <w:lvl w:ilvl="0" w:tplc="5024EB08">
      <w:start w:val="1"/>
      <w:numFmt w:val="decimal"/>
      <w:lvlText w:val="%1."/>
      <w:lvlJc w:val="right"/>
      <w:pPr>
        <w:ind w:left="500" w:hanging="180"/>
      </w:pPr>
    </w:lvl>
    <w:lvl w:ilvl="1" w:tplc="5810DBD4">
      <w:start w:val="1"/>
      <w:numFmt w:val="decimal"/>
      <w:lvlText w:val="%2."/>
      <w:lvlJc w:val="right"/>
      <w:pPr>
        <w:ind w:left="1000" w:hanging="180"/>
      </w:pPr>
    </w:lvl>
    <w:lvl w:ilvl="2" w:tplc="0638049C">
      <w:start w:val="1"/>
      <w:numFmt w:val="decimal"/>
      <w:lvlText w:val="%3."/>
      <w:lvlJc w:val="right"/>
      <w:pPr>
        <w:ind w:left="1500" w:hanging="180"/>
      </w:pPr>
    </w:lvl>
    <w:lvl w:ilvl="3" w:tplc="1A06D1C6">
      <w:start w:val="1"/>
      <w:numFmt w:val="decimal"/>
      <w:lvlText w:val="%4."/>
      <w:lvlJc w:val="right"/>
      <w:pPr>
        <w:ind w:left="2000" w:hanging="180"/>
      </w:pPr>
    </w:lvl>
    <w:lvl w:ilvl="4" w:tplc="2886F31C">
      <w:start w:val="1"/>
      <w:numFmt w:val="decimal"/>
      <w:lvlText w:val="%5."/>
      <w:lvlJc w:val="right"/>
      <w:pPr>
        <w:ind w:left="2500" w:hanging="180"/>
      </w:pPr>
    </w:lvl>
    <w:lvl w:ilvl="5" w:tplc="01F8C3A2">
      <w:start w:val="1"/>
      <w:numFmt w:val="decimal"/>
      <w:lvlText w:val="%6."/>
      <w:lvlJc w:val="right"/>
      <w:pPr>
        <w:ind w:left="3000" w:hanging="180"/>
      </w:pPr>
    </w:lvl>
    <w:lvl w:ilvl="6" w:tplc="9B8A6F40">
      <w:start w:val="1"/>
      <w:numFmt w:val="decimal"/>
      <w:lvlText w:val="%7."/>
      <w:lvlJc w:val="right"/>
      <w:pPr>
        <w:ind w:left="3500" w:hanging="180"/>
      </w:pPr>
    </w:lvl>
    <w:lvl w:ilvl="7" w:tplc="51408A46">
      <w:start w:val="1"/>
      <w:numFmt w:val="decimal"/>
      <w:lvlText w:val="%8."/>
      <w:lvlJc w:val="right"/>
      <w:pPr>
        <w:ind w:left="4000" w:hanging="180"/>
      </w:pPr>
    </w:lvl>
    <w:lvl w:ilvl="8" w:tplc="008404DE">
      <w:start w:val="1"/>
      <w:numFmt w:val="decimal"/>
      <w:lvlText w:val="%9."/>
      <w:lvlJc w:val="right"/>
      <w:pPr>
        <w:ind w:left="4500" w:hanging="180"/>
      </w:pPr>
    </w:lvl>
  </w:abstractNum>
  <w:abstractNum w:abstractNumId="12" w15:restartNumberingAfterBreak="0">
    <w:nsid w:val="556B2EAC"/>
    <w:multiLevelType w:val="hybridMultilevel"/>
    <w:tmpl w:val="914A6A66"/>
    <w:lvl w:ilvl="0" w:tplc="4D8EB3DE">
      <w:start w:val="1"/>
      <w:numFmt w:val="decimal"/>
      <w:lvlText w:val="%1."/>
      <w:lvlJc w:val="right"/>
      <w:pPr>
        <w:ind w:left="500" w:hanging="180"/>
      </w:pPr>
    </w:lvl>
    <w:lvl w:ilvl="1" w:tplc="FCBEB414">
      <w:start w:val="1"/>
      <w:numFmt w:val="decimal"/>
      <w:lvlText w:val="%2."/>
      <w:lvlJc w:val="right"/>
      <w:pPr>
        <w:ind w:left="1000" w:hanging="180"/>
      </w:pPr>
    </w:lvl>
    <w:lvl w:ilvl="2" w:tplc="F352386E">
      <w:start w:val="1"/>
      <w:numFmt w:val="decimal"/>
      <w:lvlText w:val="%3."/>
      <w:lvlJc w:val="right"/>
      <w:pPr>
        <w:ind w:left="1500" w:hanging="180"/>
      </w:pPr>
    </w:lvl>
    <w:lvl w:ilvl="3" w:tplc="6604062A">
      <w:start w:val="1"/>
      <w:numFmt w:val="decimal"/>
      <w:lvlText w:val="%4."/>
      <w:lvlJc w:val="right"/>
      <w:pPr>
        <w:ind w:left="2000" w:hanging="180"/>
      </w:pPr>
    </w:lvl>
    <w:lvl w:ilvl="4" w:tplc="E7B22D6A">
      <w:start w:val="1"/>
      <w:numFmt w:val="decimal"/>
      <w:lvlText w:val="%5."/>
      <w:lvlJc w:val="right"/>
      <w:pPr>
        <w:ind w:left="2500" w:hanging="180"/>
      </w:pPr>
    </w:lvl>
    <w:lvl w:ilvl="5" w:tplc="C2D852D6">
      <w:start w:val="1"/>
      <w:numFmt w:val="decimal"/>
      <w:lvlText w:val="%6."/>
      <w:lvlJc w:val="right"/>
      <w:pPr>
        <w:ind w:left="3000" w:hanging="180"/>
      </w:pPr>
    </w:lvl>
    <w:lvl w:ilvl="6" w:tplc="6C346022">
      <w:start w:val="1"/>
      <w:numFmt w:val="decimal"/>
      <w:lvlText w:val="%7."/>
      <w:lvlJc w:val="right"/>
      <w:pPr>
        <w:ind w:left="3500" w:hanging="180"/>
      </w:pPr>
    </w:lvl>
    <w:lvl w:ilvl="7" w:tplc="64F47978">
      <w:start w:val="1"/>
      <w:numFmt w:val="decimal"/>
      <w:lvlText w:val="%8."/>
      <w:lvlJc w:val="right"/>
      <w:pPr>
        <w:ind w:left="4000" w:hanging="180"/>
      </w:pPr>
    </w:lvl>
    <w:lvl w:ilvl="8" w:tplc="950C9B4C">
      <w:start w:val="1"/>
      <w:numFmt w:val="decimal"/>
      <w:lvlText w:val="%9."/>
      <w:lvlJc w:val="right"/>
      <w:pPr>
        <w:ind w:left="4500" w:hanging="180"/>
      </w:pPr>
    </w:lvl>
  </w:abstractNum>
  <w:abstractNum w:abstractNumId="13" w15:restartNumberingAfterBreak="0">
    <w:nsid w:val="6ED35909"/>
    <w:multiLevelType w:val="hybridMultilevel"/>
    <w:tmpl w:val="08D07F3C"/>
    <w:lvl w:ilvl="0" w:tplc="A3CEB41A">
      <w:start w:val="1"/>
      <w:numFmt w:val="decimal"/>
      <w:lvlText w:val="%1."/>
      <w:lvlJc w:val="right"/>
      <w:pPr>
        <w:ind w:left="500" w:hanging="180"/>
      </w:pPr>
    </w:lvl>
    <w:lvl w:ilvl="1" w:tplc="E4F04EE2">
      <w:start w:val="1"/>
      <w:numFmt w:val="decimal"/>
      <w:lvlText w:val="%2."/>
      <w:lvlJc w:val="right"/>
      <w:pPr>
        <w:ind w:left="1000" w:hanging="180"/>
      </w:pPr>
    </w:lvl>
    <w:lvl w:ilvl="2" w:tplc="88E43922">
      <w:start w:val="1"/>
      <w:numFmt w:val="decimal"/>
      <w:lvlText w:val="%3."/>
      <w:lvlJc w:val="right"/>
      <w:pPr>
        <w:ind w:left="1500" w:hanging="180"/>
      </w:pPr>
    </w:lvl>
    <w:lvl w:ilvl="3" w:tplc="208AC494">
      <w:start w:val="1"/>
      <w:numFmt w:val="decimal"/>
      <w:lvlText w:val="%4."/>
      <w:lvlJc w:val="right"/>
      <w:pPr>
        <w:ind w:left="2000" w:hanging="180"/>
      </w:pPr>
    </w:lvl>
    <w:lvl w:ilvl="4" w:tplc="E740FDBE">
      <w:start w:val="1"/>
      <w:numFmt w:val="decimal"/>
      <w:lvlText w:val="%5."/>
      <w:lvlJc w:val="right"/>
      <w:pPr>
        <w:ind w:left="2500" w:hanging="180"/>
      </w:pPr>
    </w:lvl>
    <w:lvl w:ilvl="5" w:tplc="1B920BD0">
      <w:start w:val="1"/>
      <w:numFmt w:val="decimal"/>
      <w:lvlText w:val="%6."/>
      <w:lvlJc w:val="right"/>
      <w:pPr>
        <w:ind w:left="3000" w:hanging="180"/>
      </w:pPr>
    </w:lvl>
    <w:lvl w:ilvl="6" w:tplc="A5483026">
      <w:start w:val="1"/>
      <w:numFmt w:val="decimal"/>
      <w:lvlText w:val="%7."/>
      <w:lvlJc w:val="right"/>
      <w:pPr>
        <w:ind w:left="3500" w:hanging="180"/>
      </w:pPr>
    </w:lvl>
    <w:lvl w:ilvl="7" w:tplc="9D6CBDDE">
      <w:start w:val="1"/>
      <w:numFmt w:val="decimal"/>
      <w:lvlText w:val="%8."/>
      <w:lvlJc w:val="right"/>
      <w:pPr>
        <w:ind w:left="4000" w:hanging="180"/>
      </w:pPr>
    </w:lvl>
    <w:lvl w:ilvl="8" w:tplc="608AF342">
      <w:start w:val="1"/>
      <w:numFmt w:val="decimal"/>
      <w:lvlText w:val="%9."/>
      <w:lvlJc w:val="right"/>
      <w:pPr>
        <w:ind w:left="4500" w:hanging="180"/>
      </w:pPr>
    </w:lvl>
  </w:abstractNum>
  <w:abstractNum w:abstractNumId="14" w15:restartNumberingAfterBreak="0">
    <w:nsid w:val="7ED619EB"/>
    <w:multiLevelType w:val="hybridMultilevel"/>
    <w:tmpl w:val="EDF22082"/>
    <w:lvl w:ilvl="0" w:tplc="63EE3CBC">
      <w:start w:val="1"/>
      <w:numFmt w:val="decimal"/>
      <w:lvlText w:val="%1."/>
      <w:lvlJc w:val="right"/>
      <w:pPr>
        <w:ind w:left="500" w:hanging="180"/>
      </w:pPr>
    </w:lvl>
    <w:lvl w:ilvl="1" w:tplc="40F8D46A">
      <w:start w:val="1"/>
      <w:numFmt w:val="decimal"/>
      <w:lvlText w:val="%2."/>
      <w:lvlJc w:val="right"/>
      <w:pPr>
        <w:ind w:left="1000" w:hanging="180"/>
      </w:pPr>
    </w:lvl>
    <w:lvl w:ilvl="2" w:tplc="691CEA6A">
      <w:start w:val="1"/>
      <w:numFmt w:val="decimal"/>
      <w:lvlText w:val="%3."/>
      <w:lvlJc w:val="right"/>
      <w:pPr>
        <w:ind w:left="1500" w:hanging="180"/>
      </w:pPr>
    </w:lvl>
    <w:lvl w:ilvl="3" w:tplc="9328F872">
      <w:start w:val="1"/>
      <w:numFmt w:val="decimal"/>
      <w:lvlText w:val="%4."/>
      <w:lvlJc w:val="right"/>
      <w:pPr>
        <w:ind w:left="2000" w:hanging="180"/>
      </w:pPr>
    </w:lvl>
    <w:lvl w:ilvl="4" w:tplc="BD142CE6">
      <w:start w:val="1"/>
      <w:numFmt w:val="decimal"/>
      <w:lvlText w:val="%5."/>
      <w:lvlJc w:val="right"/>
      <w:pPr>
        <w:ind w:left="2500" w:hanging="180"/>
      </w:pPr>
    </w:lvl>
    <w:lvl w:ilvl="5" w:tplc="EF88D0FE">
      <w:start w:val="1"/>
      <w:numFmt w:val="decimal"/>
      <w:lvlText w:val="%6."/>
      <w:lvlJc w:val="right"/>
      <w:pPr>
        <w:ind w:left="3000" w:hanging="180"/>
      </w:pPr>
    </w:lvl>
    <w:lvl w:ilvl="6" w:tplc="53706E26">
      <w:start w:val="1"/>
      <w:numFmt w:val="decimal"/>
      <w:lvlText w:val="%7."/>
      <w:lvlJc w:val="right"/>
      <w:pPr>
        <w:ind w:left="3500" w:hanging="180"/>
      </w:pPr>
    </w:lvl>
    <w:lvl w:ilvl="7" w:tplc="046CFC10">
      <w:start w:val="1"/>
      <w:numFmt w:val="decimal"/>
      <w:lvlText w:val="%8."/>
      <w:lvlJc w:val="right"/>
      <w:pPr>
        <w:ind w:left="4000" w:hanging="180"/>
      </w:pPr>
    </w:lvl>
    <w:lvl w:ilvl="8" w:tplc="A8625154">
      <w:start w:val="1"/>
      <w:numFmt w:val="decimal"/>
      <w:lvlText w:val="%9."/>
      <w:lvlJc w:val="right"/>
      <w:pPr>
        <w:ind w:left="4500" w:hanging="180"/>
      </w:pPr>
    </w:lvl>
  </w:abstractNum>
  <w:num w:numId="1" w16cid:durableId="1107309140">
    <w:abstractNumId w:val="3"/>
  </w:num>
  <w:num w:numId="2" w16cid:durableId="800223281">
    <w:abstractNumId w:val="2"/>
  </w:num>
  <w:num w:numId="3" w16cid:durableId="796071852">
    <w:abstractNumId w:val="11"/>
    <w:lvlOverride w:ilvl="0">
      <w:startOverride w:val="1"/>
      <w:lvl w:ilvl="0" w:tplc="5024EB08">
        <w:start w:val="1"/>
        <w:numFmt w:val="bullet"/>
        <w:lvlText w:val=""/>
        <w:lvlJc w:val="right"/>
        <w:pPr>
          <w:ind w:left="500" w:hanging="180"/>
        </w:pPr>
        <w:rPr>
          <w:rFonts w:ascii="Symbol" w:hAnsi="Symbol" w:hint="default"/>
        </w:rPr>
      </w:lvl>
    </w:lvlOverride>
    <w:lvlOverride w:ilvl="1">
      <w:startOverride w:val="1"/>
      <w:lvl w:ilvl="1" w:tplc="5810DBD4">
        <w:start w:val="1"/>
        <w:numFmt w:val="decimal"/>
        <w:lvlText w:val="%2."/>
        <w:lvlJc w:val="right"/>
        <w:pPr>
          <w:ind w:left="1000" w:hanging="180"/>
        </w:pPr>
      </w:lvl>
    </w:lvlOverride>
    <w:lvlOverride w:ilvl="2">
      <w:startOverride w:val="1"/>
      <w:lvl w:ilvl="2" w:tplc="0638049C">
        <w:start w:val="1"/>
        <w:numFmt w:val="decimal"/>
        <w:lvlText w:val="%3."/>
        <w:lvlJc w:val="right"/>
        <w:pPr>
          <w:ind w:left="1500" w:hanging="180"/>
        </w:pPr>
      </w:lvl>
    </w:lvlOverride>
    <w:lvlOverride w:ilvl="3">
      <w:startOverride w:val="1"/>
      <w:lvl w:ilvl="3" w:tplc="1A06D1C6">
        <w:start w:val="1"/>
        <w:numFmt w:val="decimal"/>
        <w:lvlText w:val="%4."/>
        <w:lvlJc w:val="right"/>
        <w:pPr>
          <w:ind w:left="2000" w:hanging="180"/>
        </w:pPr>
      </w:lvl>
    </w:lvlOverride>
    <w:lvlOverride w:ilvl="4">
      <w:startOverride w:val="1"/>
      <w:lvl w:ilvl="4" w:tplc="2886F31C">
        <w:start w:val="1"/>
        <w:numFmt w:val="decimal"/>
        <w:lvlText w:val="%5."/>
        <w:lvlJc w:val="right"/>
        <w:pPr>
          <w:ind w:left="2500" w:hanging="180"/>
        </w:pPr>
      </w:lvl>
    </w:lvlOverride>
    <w:lvlOverride w:ilvl="5">
      <w:startOverride w:val="1"/>
      <w:lvl w:ilvl="5" w:tplc="01F8C3A2">
        <w:start w:val="1"/>
        <w:numFmt w:val="decimal"/>
        <w:lvlText w:val="%6."/>
        <w:lvlJc w:val="right"/>
        <w:pPr>
          <w:ind w:left="3000" w:hanging="180"/>
        </w:pPr>
      </w:lvl>
    </w:lvlOverride>
    <w:lvlOverride w:ilvl="6">
      <w:startOverride w:val="1"/>
      <w:lvl w:ilvl="6" w:tplc="9B8A6F40">
        <w:start w:val="1"/>
        <w:numFmt w:val="decimal"/>
        <w:lvlText w:val="%7."/>
        <w:lvlJc w:val="right"/>
        <w:pPr>
          <w:ind w:left="3500" w:hanging="180"/>
        </w:pPr>
      </w:lvl>
    </w:lvlOverride>
    <w:lvlOverride w:ilvl="7">
      <w:startOverride w:val="1"/>
      <w:lvl w:ilvl="7" w:tplc="51408A46">
        <w:start w:val="1"/>
        <w:numFmt w:val="decimal"/>
        <w:lvlText w:val="%8."/>
        <w:lvlJc w:val="right"/>
        <w:pPr>
          <w:ind w:left="4000" w:hanging="180"/>
        </w:pPr>
      </w:lvl>
    </w:lvlOverride>
    <w:lvlOverride w:ilvl="8">
      <w:startOverride w:val="1"/>
      <w:lvl w:ilvl="8" w:tplc="008404DE">
        <w:start w:val="1"/>
        <w:numFmt w:val="decimal"/>
        <w:lvlText w:val="%9."/>
        <w:lvlJc w:val="right"/>
        <w:pPr>
          <w:ind w:left="4500" w:hanging="180"/>
        </w:pPr>
      </w:lvl>
    </w:lvlOverride>
  </w:num>
  <w:num w:numId="4" w16cid:durableId="1433742839">
    <w:abstractNumId w:val="4"/>
    <w:lvlOverride w:ilvl="0">
      <w:startOverride w:val="1"/>
      <w:lvl w:ilvl="0" w:tplc="DBB2C49E">
        <w:start w:val="1"/>
        <w:numFmt w:val="bullet"/>
        <w:lvlText w:val=""/>
        <w:lvlJc w:val="right"/>
        <w:pPr>
          <w:ind w:left="500" w:hanging="180"/>
        </w:pPr>
        <w:rPr>
          <w:rFonts w:ascii="Symbol" w:hAnsi="Symbol" w:hint="default"/>
        </w:rPr>
      </w:lvl>
    </w:lvlOverride>
    <w:lvlOverride w:ilvl="1">
      <w:startOverride w:val="1"/>
      <w:lvl w:ilvl="1" w:tplc="9DD45D2E">
        <w:start w:val="1"/>
        <w:numFmt w:val="decimal"/>
        <w:lvlText w:val="%2."/>
        <w:lvlJc w:val="right"/>
        <w:pPr>
          <w:ind w:left="1000" w:hanging="180"/>
        </w:pPr>
      </w:lvl>
    </w:lvlOverride>
    <w:lvlOverride w:ilvl="2">
      <w:startOverride w:val="1"/>
      <w:lvl w:ilvl="2" w:tplc="37E22262">
        <w:start w:val="1"/>
        <w:numFmt w:val="decimal"/>
        <w:lvlText w:val="%3."/>
        <w:lvlJc w:val="right"/>
        <w:pPr>
          <w:ind w:left="1500" w:hanging="180"/>
        </w:pPr>
      </w:lvl>
    </w:lvlOverride>
    <w:lvlOverride w:ilvl="3">
      <w:startOverride w:val="1"/>
      <w:lvl w:ilvl="3" w:tplc="78EA0F9E">
        <w:start w:val="1"/>
        <w:numFmt w:val="decimal"/>
        <w:lvlText w:val="%4."/>
        <w:lvlJc w:val="right"/>
        <w:pPr>
          <w:ind w:left="2000" w:hanging="180"/>
        </w:pPr>
      </w:lvl>
    </w:lvlOverride>
    <w:lvlOverride w:ilvl="4">
      <w:startOverride w:val="1"/>
      <w:lvl w:ilvl="4" w:tplc="947A8698">
        <w:start w:val="1"/>
        <w:numFmt w:val="decimal"/>
        <w:lvlText w:val="%5."/>
        <w:lvlJc w:val="right"/>
        <w:pPr>
          <w:ind w:left="2500" w:hanging="180"/>
        </w:pPr>
      </w:lvl>
    </w:lvlOverride>
    <w:lvlOverride w:ilvl="5">
      <w:startOverride w:val="1"/>
      <w:lvl w:ilvl="5" w:tplc="0BDC55C2">
        <w:start w:val="1"/>
        <w:numFmt w:val="decimal"/>
        <w:lvlText w:val="%6."/>
        <w:lvlJc w:val="right"/>
        <w:pPr>
          <w:ind w:left="3000" w:hanging="180"/>
        </w:pPr>
      </w:lvl>
    </w:lvlOverride>
    <w:lvlOverride w:ilvl="6">
      <w:startOverride w:val="1"/>
      <w:lvl w:ilvl="6" w:tplc="68AAAFCA">
        <w:start w:val="1"/>
        <w:numFmt w:val="decimal"/>
        <w:lvlText w:val="%7."/>
        <w:lvlJc w:val="right"/>
        <w:pPr>
          <w:ind w:left="3500" w:hanging="180"/>
        </w:pPr>
      </w:lvl>
    </w:lvlOverride>
    <w:lvlOverride w:ilvl="7">
      <w:startOverride w:val="1"/>
      <w:lvl w:ilvl="7" w:tplc="56C8C9A8">
        <w:start w:val="1"/>
        <w:numFmt w:val="decimal"/>
        <w:lvlText w:val="%8."/>
        <w:lvlJc w:val="right"/>
        <w:pPr>
          <w:ind w:left="4000" w:hanging="180"/>
        </w:pPr>
      </w:lvl>
    </w:lvlOverride>
    <w:lvlOverride w:ilvl="8">
      <w:startOverride w:val="1"/>
      <w:lvl w:ilvl="8" w:tplc="AE1E65FC">
        <w:start w:val="1"/>
        <w:numFmt w:val="decimal"/>
        <w:lvlText w:val="%9."/>
        <w:lvlJc w:val="right"/>
        <w:pPr>
          <w:ind w:left="4500" w:hanging="180"/>
        </w:pPr>
      </w:lvl>
    </w:lvlOverride>
  </w:num>
  <w:num w:numId="5" w16cid:durableId="1241335248">
    <w:abstractNumId w:val="4"/>
    <w:lvlOverride w:ilvl="0">
      <w:startOverride w:val="1"/>
      <w:lvl w:ilvl="0" w:tplc="DBB2C49E">
        <w:start w:val="1"/>
        <w:numFmt w:val="bullet"/>
        <w:lvlText w:val=""/>
        <w:lvlJc w:val="right"/>
        <w:pPr>
          <w:ind w:left="500" w:hanging="180"/>
        </w:pPr>
        <w:rPr>
          <w:rFonts w:ascii="Symbol" w:hAnsi="Symbol" w:hint="default"/>
        </w:rPr>
      </w:lvl>
    </w:lvlOverride>
    <w:lvlOverride w:ilvl="1">
      <w:startOverride w:val="1"/>
      <w:lvl w:ilvl="1" w:tplc="9DD45D2E">
        <w:start w:val="1"/>
        <w:numFmt w:val="decimal"/>
        <w:lvlText w:val="%2."/>
        <w:lvlJc w:val="right"/>
        <w:pPr>
          <w:ind w:left="1000" w:hanging="180"/>
        </w:pPr>
      </w:lvl>
    </w:lvlOverride>
    <w:lvlOverride w:ilvl="2">
      <w:startOverride w:val="1"/>
      <w:lvl w:ilvl="2" w:tplc="37E22262">
        <w:start w:val="1"/>
        <w:numFmt w:val="decimal"/>
        <w:lvlText w:val="%3."/>
        <w:lvlJc w:val="right"/>
        <w:pPr>
          <w:ind w:left="1500" w:hanging="180"/>
        </w:pPr>
      </w:lvl>
    </w:lvlOverride>
    <w:lvlOverride w:ilvl="3">
      <w:startOverride w:val="1"/>
      <w:lvl w:ilvl="3" w:tplc="78EA0F9E">
        <w:start w:val="1"/>
        <w:numFmt w:val="decimal"/>
        <w:lvlText w:val="%4."/>
        <w:lvlJc w:val="right"/>
        <w:pPr>
          <w:ind w:left="2000" w:hanging="180"/>
        </w:pPr>
      </w:lvl>
    </w:lvlOverride>
    <w:lvlOverride w:ilvl="4">
      <w:startOverride w:val="1"/>
      <w:lvl w:ilvl="4" w:tplc="947A8698">
        <w:start w:val="1"/>
        <w:numFmt w:val="decimal"/>
        <w:lvlText w:val="%5."/>
        <w:lvlJc w:val="right"/>
        <w:pPr>
          <w:ind w:left="2500" w:hanging="180"/>
        </w:pPr>
      </w:lvl>
    </w:lvlOverride>
    <w:lvlOverride w:ilvl="5">
      <w:startOverride w:val="1"/>
      <w:lvl w:ilvl="5" w:tplc="0BDC55C2">
        <w:start w:val="1"/>
        <w:numFmt w:val="decimal"/>
        <w:lvlText w:val="%6."/>
        <w:lvlJc w:val="right"/>
        <w:pPr>
          <w:ind w:left="3000" w:hanging="180"/>
        </w:pPr>
      </w:lvl>
    </w:lvlOverride>
    <w:lvlOverride w:ilvl="6">
      <w:startOverride w:val="1"/>
      <w:lvl w:ilvl="6" w:tplc="68AAAFCA">
        <w:start w:val="1"/>
        <w:numFmt w:val="decimal"/>
        <w:lvlText w:val="%7."/>
        <w:lvlJc w:val="right"/>
        <w:pPr>
          <w:ind w:left="3500" w:hanging="180"/>
        </w:pPr>
      </w:lvl>
    </w:lvlOverride>
    <w:lvlOverride w:ilvl="7">
      <w:startOverride w:val="1"/>
      <w:lvl w:ilvl="7" w:tplc="56C8C9A8">
        <w:start w:val="1"/>
        <w:numFmt w:val="decimal"/>
        <w:lvlText w:val="%8."/>
        <w:lvlJc w:val="right"/>
        <w:pPr>
          <w:ind w:left="4000" w:hanging="180"/>
        </w:pPr>
      </w:lvl>
    </w:lvlOverride>
    <w:lvlOverride w:ilvl="8">
      <w:startOverride w:val="1"/>
      <w:lvl w:ilvl="8" w:tplc="AE1E65FC">
        <w:start w:val="1"/>
        <w:numFmt w:val="decimal"/>
        <w:lvlText w:val="%9."/>
        <w:lvlJc w:val="right"/>
        <w:pPr>
          <w:ind w:left="4500" w:hanging="180"/>
        </w:pPr>
      </w:lvl>
    </w:lvlOverride>
  </w:num>
  <w:num w:numId="6" w16cid:durableId="1321539514">
    <w:abstractNumId w:val="10"/>
    <w:lvlOverride w:ilvl="0">
      <w:startOverride w:val="1"/>
      <w:lvl w:ilvl="0" w:tplc="924CF91C">
        <w:start w:val="1"/>
        <w:numFmt w:val="bullet"/>
        <w:lvlText w:val=""/>
        <w:lvlJc w:val="right"/>
        <w:pPr>
          <w:ind w:left="500" w:hanging="180"/>
        </w:pPr>
        <w:rPr>
          <w:rFonts w:ascii="Symbol" w:hAnsi="Symbol" w:hint="default"/>
        </w:rPr>
      </w:lvl>
    </w:lvlOverride>
    <w:lvlOverride w:ilvl="1">
      <w:startOverride w:val="1"/>
      <w:lvl w:ilvl="1" w:tplc="2B28FA72">
        <w:start w:val="1"/>
        <w:numFmt w:val="decimal"/>
        <w:lvlText w:val="%2."/>
        <w:lvlJc w:val="right"/>
        <w:pPr>
          <w:ind w:left="1000" w:hanging="180"/>
        </w:pPr>
      </w:lvl>
    </w:lvlOverride>
    <w:lvlOverride w:ilvl="2">
      <w:startOverride w:val="1"/>
      <w:lvl w:ilvl="2" w:tplc="8A4ADC00">
        <w:start w:val="1"/>
        <w:numFmt w:val="decimal"/>
        <w:lvlText w:val="%3."/>
        <w:lvlJc w:val="right"/>
        <w:pPr>
          <w:ind w:left="1500" w:hanging="180"/>
        </w:pPr>
      </w:lvl>
    </w:lvlOverride>
    <w:lvlOverride w:ilvl="3">
      <w:startOverride w:val="1"/>
      <w:lvl w:ilvl="3" w:tplc="A8987C20">
        <w:start w:val="1"/>
        <w:numFmt w:val="decimal"/>
        <w:lvlText w:val="%4."/>
        <w:lvlJc w:val="right"/>
        <w:pPr>
          <w:ind w:left="2000" w:hanging="180"/>
        </w:pPr>
      </w:lvl>
    </w:lvlOverride>
    <w:lvlOverride w:ilvl="4">
      <w:startOverride w:val="1"/>
      <w:lvl w:ilvl="4" w:tplc="5EC63470">
        <w:start w:val="1"/>
        <w:numFmt w:val="decimal"/>
        <w:lvlText w:val="%5."/>
        <w:lvlJc w:val="right"/>
        <w:pPr>
          <w:ind w:left="2500" w:hanging="180"/>
        </w:pPr>
      </w:lvl>
    </w:lvlOverride>
    <w:lvlOverride w:ilvl="5">
      <w:startOverride w:val="1"/>
      <w:lvl w:ilvl="5" w:tplc="1D5CADF2">
        <w:start w:val="1"/>
        <w:numFmt w:val="decimal"/>
        <w:lvlText w:val="%6."/>
        <w:lvlJc w:val="right"/>
        <w:pPr>
          <w:ind w:left="3000" w:hanging="180"/>
        </w:pPr>
      </w:lvl>
    </w:lvlOverride>
    <w:lvlOverride w:ilvl="6">
      <w:startOverride w:val="1"/>
      <w:lvl w:ilvl="6" w:tplc="BB46026C">
        <w:start w:val="1"/>
        <w:numFmt w:val="decimal"/>
        <w:lvlText w:val="%7."/>
        <w:lvlJc w:val="right"/>
        <w:pPr>
          <w:ind w:left="3500" w:hanging="180"/>
        </w:pPr>
      </w:lvl>
    </w:lvlOverride>
    <w:lvlOverride w:ilvl="7">
      <w:startOverride w:val="1"/>
      <w:lvl w:ilvl="7" w:tplc="2CA061B8">
        <w:start w:val="1"/>
        <w:numFmt w:val="decimal"/>
        <w:lvlText w:val="%8."/>
        <w:lvlJc w:val="right"/>
        <w:pPr>
          <w:ind w:left="4000" w:hanging="180"/>
        </w:pPr>
      </w:lvl>
    </w:lvlOverride>
    <w:lvlOverride w:ilvl="8">
      <w:startOverride w:val="1"/>
      <w:lvl w:ilvl="8" w:tplc="6EC4F774">
        <w:start w:val="1"/>
        <w:numFmt w:val="decimal"/>
        <w:lvlText w:val="%9."/>
        <w:lvlJc w:val="right"/>
        <w:pPr>
          <w:ind w:left="4500" w:hanging="180"/>
        </w:pPr>
      </w:lvl>
    </w:lvlOverride>
  </w:num>
  <w:num w:numId="7" w16cid:durableId="1152791686">
    <w:abstractNumId w:val="7"/>
    <w:lvlOverride w:ilvl="0">
      <w:startOverride w:val="1"/>
      <w:lvl w:ilvl="0" w:tplc="6D28F4AA">
        <w:start w:val="1"/>
        <w:numFmt w:val="bullet"/>
        <w:lvlText w:val=""/>
        <w:lvlJc w:val="right"/>
        <w:pPr>
          <w:ind w:left="500" w:hanging="180"/>
        </w:pPr>
        <w:rPr>
          <w:rFonts w:ascii="Symbol" w:hAnsi="Symbol" w:hint="default"/>
        </w:rPr>
      </w:lvl>
    </w:lvlOverride>
    <w:lvlOverride w:ilvl="1">
      <w:startOverride w:val="1"/>
      <w:lvl w:ilvl="1" w:tplc="E71C9E48">
        <w:start w:val="1"/>
        <w:numFmt w:val="decimal"/>
        <w:lvlText w:val="%2."/>
        <w:lvlJc w:val="right"/>
        <w:pPr>
          <w:ind w:left="1000" w:hanging="180"/>
        </w:pPr>
      </w:lvl>
    </w:lvlOverride>
    <w:lvlOverride w:ilvl="2">
      <w:startOverride w:val="1"/>
      <w:lvl w:ilvl="2" w:tplc="9F146F92">
        <w:start w:val="1"/>
        <w:numFmt w:val="decimal"/>
        <w:lvlText w:val="%3."/>
        <w:lvlJc w:val="right"/>
        <w:pPr>
          <w:ind w:left="1500" w:hanging="180"/>
        </w:pPr>
      </w:lvl>
    </w:lvlOverride>
    <w:lvlOverride w:ilvl="3">
      <w:startOverride w:val="1"/>
      <w:lvl w:ilvl="3" w:tplc="A502A7C4">
        <w:start w:val="1"/>
        <w:numFmt w:val="decimal"/>
        <w:lvlText w:val="%4."/>
        <w:lvlJc w:val="right"/>
        <w:pPr>
          <w:ind w:left="2000" w:hanging="180"/>
        </w:pPr>
      </w:lvl>
    </w:lvlOverride>
    <w:lvlOverride w:ilvl="4">
      <w:startOverride w:val="1"/>
      <w:lvl w:ilvl="4" w:tplc="7F30E33E">
        <w:start w:val="1"/>
        <w:numFmt w:val="decimal"/>
        <w:lvlText w:val="%5."/>
        <w:lvlJc w:val="right"/>
        <w:pPr>
          <w:ind w:left="2500" w:hanging="180"/>
        </w:pPr>
      </w:lvl>
    </w:lvlOverride>
    <w:lvlOverride w:ilvl="5">
      <w:startOverride w:val="1"/>
      <w:lvl w:ilvl="5" w:tplc="70EA4850">
        <w:start w:val="1"/>
        <w:numFmt w:val="decimal"/>
        <w:lvlText w:val="%6."/>
        <w:lvlJc w:val="right"/>
        <w:pPr>
          <w:ind w:left="3000" w:hanging="180"/>
        </w:pPr>
      </w:lvl>
    </w:lvlOverride>
    <w:lvlOverride w:ilvl="6">
      <w:startOverride w:val="1"/>
      <w:lvl w:ilvl="6" w:tplc="A4BE79C4">
        <w:start w:val="1"/>
        <w:numFmt w:val="decimal"/>
        <w:lvlText w:val="%7."/>
        <w:lvlJc w:val="right"/>
        <w:pPr>
          <w:ind w:left="3500" w:hanging="180"/>
        </w:pPr>
      </w:lvl>
    </w:lvlOverride>
    <w:lvlOverride w:ilvl="7">
      <w:startOverride w:val="1"/>
      <w:lvl w:ilvl="7" w:tplc="F0B26EB0">
        <w:start w:val="1"/>
        <w:numFmt w:val="decimal"/>
        <w:lvlText w:val="%8."/>
        <w:lvlJc w:val="right"/>
        <w:pPr>
          <w:ind w:left="4000" w:hanging="180"/>
        </w:pPr>
      </w:lvl>
    </w:lvlOverride>
    <w:lvlOverride w:ilvl="8">
      <w:startOverride w:val="1"/>
      <w:lvl w:ilvl="8" w:tplc="C784B962">
        <w:start w:val="1"/>
        <w:numFmt w:val="decimal"/>
        <w:lvlText w:val="%9."/>
        <w:lvlJc w:val="right"/>
        <w:pPr>
          <w:ind w:left="4500" w:hanging="180"/>
        </w:pPr>
      </w:lvl>
    </w:lvlOverride>
  </w:num>
  <w:num w:numId="8" w16cid:durableId="441725441">
    <w:abstractNumId w:val="6"/>
    <w:lvlOverride w:ilvl="0">
      <w:startOverride w:val="1"/>
      <w:lvl w:ilvl="0" w:tplc="FAFAD9BE">
        <w:start w:val="1"/>
        <w:numFmt w:val="bullet"/>
        <w:lvlText w:val=""/>
        <w:lvlJc w:val="right"/>
        <w:pPr>
          <w:ind w:left="500" w:hanging="180"/>
        </w:pPr>
        <w:rPr>
          <w:rFonts w:ascii="Symbol" w:hAnsi="Symbol" w:hint="default"/>
        </w:rPr>
      </w:lvl>
    </w:lvlOverride>
    <w:lvlOverride w:ilvl="1">
      <w:startOverride w:val="1"/>
      <w:lvl w:ilvl="1" w:tplc="E758B5A2">
        <w:start w:val="1"/>
        <w:numFmt w:val="decimal"/>
        <w:lvlText w:val="%2."/>
        <w:lvlJc w:val="right"/>
        <w:pPr>
          <w:ind w:left="1000" w:hanging="180"/>
        </w:pPr>
      </w:lvl>
    </w:lvlOverride>
    <w:lvlOverride w:ilvl="2">
      <w:startOverride w:val="1"/>
      <w:lvl w:ilvl="2" w:tplc="7472D90A">
        <w:start w:val="1"/>
        <w:numFmt w:val="decimal"/>
        <w:lvlText w:val="%3."/>
        <w:lvlJc w:val="right"/>
        <w:pPr>
          <w:ind w:left="1500" w:hanging="180"/>
        </w:pPr>
      </w:lvl>
    </w:lvlOverride>
    <w:lvlOverride w:ilvl="3">
      <w:startOverride w:val="1"/>
      <w:lvl w:ilvl="3" w:tplc="D170425E">
        <w:start w:val="1"/>
        <w:numFmt w:val="decimal"/>
        <w:lvlText w:val="%4."/>
        <w:lvlJc w:val="right"/>
        <w:pPr>
          <w:ind w:left="2000" w:hanging="180"/>
        </w:pPr>
      </w:lvl>
    </w:lvlOverride>
    <w:lvlOverride w:ilvl="4">
      <w:startOverride w:val="1"/>
      <w:lvl w:ilvl="4" w:tplc="78B89A48">
        <w:start w:val="1"/>
        <w:numFmt w:val="decimal"/>
        <w:lvlText w:val="%5."/>
        <w:lvlJc w:val="right"/>
        <w:pPr>
          <w:ind w:left="2500" w:hanging="180"/>
        </w:pPr>
      </w:lvl>
    </w:lvlOverride>
    <w:lvlOverride w:ilvl="5">
      <w:startOverride w:val="1"/>
      <w:lvl w:ilvl="5" w:tplc="2D324388">
        <w:start w:val="1"/>
        <w:numFmt w:val="decimal"/>
        <w:lvlText w:val="%6."/>
        <w:lvlJc w:val="right"/>
        <w:pPr>
          <w:ind w:left="3000" w:hanging="180"/>
        </w:pPr>
      </w:lvl>
    </w:lvlOverride>
    <w:lvlOverride w:ilvl="6">
      <w:startOverride w:val="1"/>
      <w:lvl w:ilvl="6" w:tplc="1D2EF450">
        <w:start w:val="1"/>
        <w:numFmt w:val="decimal"/>
        <w:lvlText w:val="%7."/>
        <w:lvlJc w:val="right"/>
        <w:pPr>
          <w:ind w:left="3500" w:hanging="180"/>
        </w:pPr>
      </w:lvl>
    </w:lvlOverride>
    <w:lvlOverride w:ilvl="7">
      <w:startOverride w:val="1"/>
      <w:lvl w:ilvl="7" w:tplc="50706D12">
        <w:start w:val="1"/>
        <w:numFmt w:val="decimal"/>
        <w:lvlText w:val="%8."/>
        <w:lvlJc w:val="right"/>
        <w:pPr>
          <w:ind w:left="4000" w:hanging="180"/>
        </w:pPr>
      </w:lvl>
    </w:lvlOverride>
    <w:lvlOverride w:ilvl="8">
      <w:startOverride w:val="1"/>
      <w:lvl w:ilvl="8" w:tplc="A766732E">
        <w:start w:val="1"/>
        <w:numFmt w:val="decimal"/>
        <w:lvlText w:val="%9."/>
        <w:lvlJc w:val="right"/>
        <w:pPr>
          <w:ind w:left="4500" w:hanging="180"/>
        </w:pPr>
      </w:lvl>
    </w:lvlOverride>
  </w:num>
  <w:num w:numId="9" w16cid:durableId="182136172">
    <w:abstractNumId w:val="1"/>
    <w:lvlOverride w:ilvl="0">
      <w:startOverride w:val="1"/>
      <w:lvl w:ilvl="0" w:tplc="F6CEC45E">
        <w:start w:val="1"/>
        <w:numFmt w:val="bullet"/>
        <w:lvlText w:val=""/>
        <w:lvlJc w:val="right"/>
        <w:pPr>
          <w:ind w:left="500" w:hanging="180"/>
        </w:pPr>
        <w:rPr>
          <w:rFonts w:ascii="Symbol" w:hAnsi="Symbol" w:hint="default"/>
        </w:rPr>
      </w:lvl>
    </w:lvlOverride>
    <w:lvlOverride w:ilvl="1">
      <w:startOverride w:val="1"/>
      <w:lvl w:ilvl="1" w:tplc="C81C6290">
        <w:start w:val="1"/>
        <w:numFmt w:val="bullet"/>
        <w:lvlText w:val="o"/>
        <w:lvlJc w:val="right"/>
        <w:pPr>
          <w:ind w:left="1000" w:hanging="180"/>
        </w:pPr>
        <w:rPr>
          <w:rFonts w:ascii="Symbol" w:hAnsi="Symbol" w:hint="default"/>
        </w:rPr>
      </w:lvl>
    </w:lvlOverride>
    <w:lvlOverride w:ilvl="2">
      <w:startOverride w:val="1"/>
      <w:lvl w:ilvl="2" w:tplc="B57AB2EC">
        <w:start w:val="1"/>
        <w:numFmt w:val="decimal"/>
        <w:lvlText w:val="%3."/>
        <w:lvlJc w:val="right"/>
        <w:pPr>
          <w:ind w:left="1500" w:hanging="180"/>
        </w:pPr>
      </w:lvl>
    </w:lvlOverride>
    <w:lvlOverride w:ilvl="3">
      <w:startOverride w:val="1"/>
      <w:lvl w:ilvl="3" w:tplc="7E0E82C4">
        <w:start w:val="1"/>
        <w:numFmt w:val="decimal"/>
        <w:lvlText w:val="%4."/>
        <w:lvlJc w:val="right"/>
        <w:pPr>
          <w:ind w:left="2000" w:hanging="180"/>
        </w:pPr>
      </w:lvl>
    </w:lvlOverride>
    <w:lvlOverride w:ilvl="4">
      <w:startOverride w:val="1"/>
      <w:lvl w:ilvl="4" w:tplc="197027BA">
        <w:start w:val="1"/>
        <w:numFmt w:val="decimal"/>
        <w:lvlText w:val="%5."/>
        <w:lvlJc w:val="right"/>
        <w:pPr>
          <w:ind w:left="2500" w:hanging="180"/>
        </w:pPr>
      </w:lvl>
    </w:lvlOverride>
    <w:lvlOverride w:ilvl="5">
      <w:startOverride w:val="1"/>
      <w:lvl w:ilvl="5" w:tplc="62CA60B0">
        <w:start w:val="1"/>
        <w:numFmt w:val="decimal"/>
        <w:lvlText w:val="%6."/>
        <w:lvlJc w:val="right"/>
        <w:pPr>
          <w:ind w:left="3000" w:hanging="180"/>
        </w:pPr>
      </w:lvl>
    </w:lvlOverride>
    <w:lvlOverride w:ilvl="6">
      <w:startOverride w:val="1"/>
      <w:lvl w:ilvl="6" w:tplc="9C5CF400">
        <w:start w:val="1"/>
        <w:numFmt w:val="decimal"/>
        <w:lvlText w:val="%7."/>
        <w:lvlJc w:val="right"/>
        <w:pPr>
          <w:ind w:left="3500" w:hanging="180"/>
        </w:pPr>
      </w:lvl>
    </w:lvlOverride>
    <w:lvlOverride w:ilvl="7">
      <w:startOverride w:val="1"/>
      <w:lvl w:ilvl="7" w:tplc="5E7653FC">
        <w:start w:val="1"/>
        <w:numFmt w:val="decimal"/>
        <w:lvlText w:val="%8."/>
        <w:lvlJc w:val="right"/>
        <w:pPr>
          <w:ind w:left="4000" w:hanging="180"/>
        </w:pPr>
      </w:lvl>
    </w:lvlOverride>
    <w:lvlOverride w:ilvl="8">
      <w:startOverride w:val="1"/>
      <w:lvl w:ilvl="8" w:tplc="532041AA">
        <w:start w:val="1"/>
        <w:numFmt w:val="decimal"/>
        <w:lvlText w:val="%9."/>
        <w:lvlJc w:val="right"/>
        <w:pPr>
          <w:ind w:left="4500" w:hanging="180"/>
        </w:pPr>
      </w:lvl>
    </w:lvlOverride>
  </w:num>
  <w:num w:numId="10" w16cid:durableId="1613587219">
    <w:abstractNumId w:val="9"/>
    <w:lvlOverride w:ilvl="0">
      <w:startOverride w:val="1"/>
      <w:lvl w:ilvl="0" w:tplc="BC1AE1D4">
        <w:start w:val="1"/>
        <w:numFmt w:val="bullet"/>
        <w:lvlText w:val=""/>
        <w:lvlJc w:val="right"/>
        <w:pPr>
          <w:ind w:left="500" w:hanging="180"/>
        </w:pPr>
        <w:rPr>
          <w:rFonts w:ascii="Symbol" w:hAnsi="Symbol" w:hint="default"/>
        </w:rPr>
      </w:lvl>
    </w:lvlOverride>
    <w:lvlOverride w:ilvl="1">
      <w:startOverride w:val="1"/>
      <w:lvl w:ilvl="1" w:tplc="45183906">
        <w:start w:val="1"/>
        <w:numFmt w:val="decimal"/>
        <w:lvlText w:val="%2."/>
        <w:lvlJc w:val="right"/>
        <w:pPr>
          <w:ind w:left="1000" w:hanging="180"/>
        </w:pPr>
      </w:lvl>
    </w:lvlOverride>
    <w:lvlOverride w:ilvl="2">
      <w:startOverride w:val="1"/>
      <w:lvl w:ilvl="2" w:tplc="02DC14C0">
        <w:start w:val="1"/>
        <w:numFmt w:val="decimal"/>
        <w:lvlText w:val="%3."/>
        <w:lvlJc w:val="right"/>
        <w:pPr>
          <w:ind w:left="1500" w:hanging="180"/>
        </w:pPr>
      </w:lvl>
    </w:lvlOverride>
    <w:lvlOverride w:ilvl="3">
      <w:startOverride w:val="1"/>
      <w:lvl w:ilvl="3" w:tplc="6B3AF16C">
        <w:start w:val="1"/>
        <w:numFmt w:val="decimal"/>
        <w:lvlText w:val="%4."/>
        <w:lvlJc w:val="right"/>
        <w:pPr>
          <w:ind w:left="2000" w:hanging="180"/>
        </w:pPr>
      </w:lvl>
    </w:lvlOverride>
    <w:lvlOverride w:ilvl="4">
      <w:startOverride w:val="1"/>
      <w:lvl w:ilvl="4" w:tplc="7F04247A">
        <w:start w:val="1"/>
        <w:numFmt w:val="decimal"/>
        <w:lvlText w:val="%5."/>
        <w:lvlJc w:val="right"/>
        <w:pPr>
          <w:ind w:left="2500" w:hanging="180"/>
        </w:pPr>
      </w:lvl>
    </w:lvlOverride>
    <w:lvlOverride w:ilvl="5">
      <w:startOverride w:val="1"/>
      <w:lvl w:ilvl="5" w:tplc="C1CEA028">
        <w:start w:val="1"/>
        <w:numFmt w:val="decimal"/>
        <w:lvlText w:val="%6."/>
        <w:lvlJc w:val="right"/>
        <w:pPr>
          <w:ind w:left="3000" w:hanging="180"/>
        </w:pPr>
      </w:lvl>
    </w:lvlOverride>
    <w:lvlOverride w:ilvl="6">
      <w:startOverride w:val="1"/>
      <w:lvl w:ilvl="6" w:tplc="CF2095CC">
        <w:start w:val="1"/>
        <w:numFmt w:val="decimal"/>
        <w:lvlText w:val="%7."/>
        <w:lvlJc w:val="right"/>
        <w:pPr>
          <w:ind w:left="3500" w:hanging="180"/>
        </w:pPr>
      </w:lvl>
    </w:lvlOverride>
    <w:lvlOverride w:ilvl="7">
      <w:startOverride w:val="1"/>
      <w:lvl w:ilvl="7" w:tplc="30105AB6">
        <w:start w:val="1"/>
        <w:numFmt w:val="decimal"/>
        <w:lvlText w:val="%8."/>
        <w:lvlJc w:val="right"/>
        <w:pPr>
          <w:ind w:left="4000" w:hanging="180"/>
        </w:pPr>
      </w:lvl>
    </w:lvlOverride>
    <w:lvlOverride w:ilvl="8">
      <w:startOverride w:val="1"/>
      <w:lvl w:ilvl="8" w:tplc="74509BFE">
        <w:start w:val="1"/>
        <w:numFmt w:val="decimal"/>
        <w:lvlText w:val="%9."/>
        <w:lvlJc w:val="right"/>
        <w:pPr>
          <w:ind w:left="4500" w:hanging="180"/>
        </w:pPr>
      </w:lvl>
    </w:lvlOverride>
  </w:num>
  <w:num w:numId="11" w16cid:durableId="1891262824">
    <w:abstractNumId w:val="14"/>
    <w:lvlOverride w:ilvl="0">
      <w:startOverride w:val="1"/>
      <w:lvl w:ilvl="0" w:tplc="63EE3CBC">
        <w:start w:val="1"/>
        <w:numFmt w:val="bullet"/>
        <w:lvlText w:val=""/>
        <w:lvlJc w:val="right"/>
        <w:pPr>
          <w:ind w:left="500" w:hanging="180"/>
        </w:pPr>
        <w:rPr>
          <w:rFonts w:ascii="Symbol" w:hAnsi="Symbol" w:hint="default"/>
        </w:rPr>
      </w:lvl>
    </w:lvlOverride>
    <w:lvlOverride w:ilvl="1">
      <w:startOverride w:val="1"/>
      <w:lvl w:ilvl="1" w:tplc="40F8D46A">
        <w:start w:val="1"/>
        <w:numFmt w:val="decimal"/>
        <w:lvlText w:val="%2."/>
        <w:lvlJc w:val="right"/>
        <w:pPr>
          <w:ind w:left="1000" w:hanging="180"/>
        </w:pPr>
      </w:lvl>
    </w:lvlOverride>
    <w:lvlOverride w:ilvl="2">
      <w:startOverride w:val="1"/>
      <w:lvl w:ilvl="2" w:tplc="691CEA6A">
        <w:start w:val="1"/>
        <w:numFmt w:val="decimal"/>
        <w:lvlText w:val="%3."/>
        <w:lvlJc w:val="right"/>
        <w:pPr>
          <w:ind w:left="1500" w:hanging="180"/>
        </w:pPr>
      </w:lvl>
    </w:lvlOverride>
    <w:lvlOverride w:ilvl="3">
      <w:startOverride w:val="1"/>
      <w:lvl w:ilvl="3" w:tplc="9328F872">
        <w:start w:val="1"/>
        <w:numFmt w:val="decimal"/>
        <w:lvlText w:val="%4."/>
        <w:lvlJc w:val="right"/>
        <w:pPr>
          <w:ind w:left="2000" w:hanging="180"/>
        </w:pPr>
      </w:lvl>
    </w:lvlOverride>
    <w:lvlOverride w:ilvl="4">
      <w:startOverride w:val="1"/>
      <w:lvl w:ilvl="4" w:tplc="BD142CE6">
        <w:start w:val="1"/>
        <w:numFmt w:val="decimal"/>
        <w:lvlText w:val="%5."/>
        <w:lvlJc w:val="right"/>
        <w:pPr>
          <w:ind w:left="2500" w:hanging="180"/>
        </w:pPr>
      </w:lvl>
    </w:lvlOverride>
    <w:lvlOverride w:ilvl="5">
      <w:startOverride w:val="1"/>
      <w:lvl w:ilvl="5" w:tplc="EF88D0FE">
        <w:start w:val="1"/>
        <w:numFmt w:val="decimal"/>
        <w:lvlText w:val="%6."/>
        <w:lvlJc w:val="right"/>
        <w:pPr>
          <w:ind w:left="3000" w:hanging="180"/>
        </w:pPr>
      </w:lvl>
    </w:lvlOverride>
    <w:lvlOverride w:ilvl="6">
      <w:startOverride w:val="1"/>
      <w:lvl w:ilvl="6" w:tplc="53706E26">
        <w:start w:val="1"/>
        <w:numFmt w:val="decimal"/>
        <w:lvlText w:val="%7."/>
        <w:lvlJc w:val="right"/>
        <w:pPr>
          <w:ind w:left="3500" w:hanging="180"/>
        </w:pPr>
      </w:lvl>
    </w:lvlOverride>
    <w:lvlOverride w:ilvl="7">
      <w:startOverride w:val="1"/>
      <w:lvl w:ilvl="7" w:tplc="046CFC10">
        <w:start w:val="1"/>
        <w:numFmt w:val="decimal"/>
        <w:lvlText w:val="%8."/>
        <w:lvlJc w:val="right"/>
        <w:pPr>
          <w:ind w:left="4000" w:hanging="180"/>
        </w:pPr>
      </w:lvl>
    </w:lvlOverride>
    <w:lvlOverride w:ilvl="8">
      <w:startOverride w:val="1"/>
      <w:lvl w:ilvl="8" w:tplc="A8625154">
        <w:start w:val="1"/>
        <w:numFmt w:val="decimal"/>
        <w:lvlText w:val="%9."/>
        <w:lvlJc w:val="right"/>
        <w:pPr>
          <w:ind w:left="4500" w:hanging="180"/>
        </w:pPr>
      </w:lvl>
    </w:lvlOverride>
  </w:num>
  <w:num w:numId="12" w16cid:durableId="732046363">
    <w:abstractNumId w:val="13"/>
    <w:lvlOverride w:ilvl="0">
      <w:startOverride w:val="1"/>
      <w:lvl w:ilvl="0" w:tplc="A3CEB41A">
        <w:start w:val="1"/>
        <w:numFmt w:val="bullet"/>
        <w:lvlText w:val=""/>
        <w:lvlJc w:val="right"/>
        <w:pPr>
          <w:ind w:left="500" w:hanging="180"/>
        </w:pPr>
        <w:rPr>
          <w:rFonts w:ascii="Symbol" w:hAnsi="Symbol" w:hint="default"/>
        </w:rPr>
      </w:lvl>
    </w:lvlOverride>
    <w:lvlOverride w:ilvl="1">
      <w:startOverride w:val="1"/>
      <w:lvl w:ilvl="1" w:tplc="E4F04EE2">
        <w:start w:val="1"/>
        <w:numFmt w:val="decimal"/>
        <w:lvlText w:val="%2."/>
        <w:lvlJc w:val="right"/>
        <w:pPr>
          <w:ind w:left="1000" w:hanging="180"/>
        </w:pPr>
      </w:lvl>
    </w:lvlOverride>
    <w:lvlOverride w:ilvl="2">
      <w:startOverride w:val="1"/>
      <w:lvl w:ilvl="2" w:tplc="88E43922">
        <w:start w:val="1"/>
        <w:numFmt w:val="decimal"/>
        <w:lvlText w:val="%3."/>
        <w:lvlJc w:val="right"/>
        <w:pPr>
          <w:ind w:left="1500" w:hanging="180"/>
        </w:pPr>
      </w:lvl>
    </w:lvlOverride>
    <w:lvlOverride w:ilvl="3">
      <w:startOverride w:val="1"/>
      <w:lvl w:ilvl="3" w:tplc="208AC494">
        <w:start w:val="1"/>
        <w:numFmt w:val="decimal"/>
        <w:lvlText w:val="%4."/>
        <w:lvlJc w:val="right"/>
        <w:pPr>
          <w:ind w:left="2000" w:hanging="180"/>
        </w:pPr>
      </w:lvl>
    </w:lvlOverride>
    <w:lvlOverride w:ilvl="4">
      <w:startOverride w:val="1"/>
      <w:lvl w:ilvl="4" w:tplc="E740FDBE">
        <w:start w:val="1"/>
        <w:numFmt w:val="decimal"/>
        <w:lvlText w:val="%5."/>
        <w:lvlJc w:val="right"/>
        <w:pPr>
          <w:ind w:left="2500" w:hanging="180"/>
        </w:pPr>
      </w:lvl>
    </w:lvlOverride>
    <w:lvlOverride w:ilvl="5">
      <w:startOverride w:val="1"/>
      <w:lvl w:ilvl="5" w:tplc="1B920BD0">
        <w:start w:val="1"/>
        <w:numFmt w:val="decimal"/>
        <w:lvlText w:val="%6."/>
        <w:lvlJc w:val="right"/>
        <w:pPr>
          <w:ind w:left="3000" w:hanging="180"/>
        </w:pPr>
      </w:lvl>
    </w:lvlOverride>
    <w:lvlOverride w:ilvl="6">
      <w:startOverride w:val="1"/>
      <w:lvl w:ilvl="6" w:tplc="A5483026">
        <w:start w:val="1"/>
        <w:numFmt w:val="decimal"/>
        <w:lvlText w:val="%7."/>
        <w:lvlJc w:val="right"/>
        <w:pPr>
          <w:ind w:left="3500" w:hanging="180"/>
        </w:pPr>
      </w:lvl>
    </w:lvlOverride>
    <w:lvlOverride w:ilvl="7">
      <w:startOverride w:val="1"/>
      <w:lvl w:ilvl="7" w:tplc="9D6CBDDE">
        <w:start w:val="1"/>
        <w:numFmt w:val="decimal"/>
        <w:lvlText w:val="%8."/>
        <w:lvlJc w:val="right"/>
        <w:pPr>
          <w:ind w:left="4000" w:hanging="180"/>
        </w:pPr>
      </w:lvl>
    </w:lvlOverride>
    <w:lvlOverride w:ilvl="8">
      <w:startOverride w:val="1"/>
      <w:lvl w:ilvl="8" w:tplc="608AF342">
        <w:start w:val="1"/>
        <w:numFmt w:val="decimal"/>
        <w:lvlText w:val="%9."/>
        <w:lvlJc w:val="right"/>
        <w:pPr>
          <w:ind w:left="4500" w:hanging="180"/>
        </w:pPr>
      </w:lvl>
    </w:lvlOverride>
  </w:num>
  <w:num w:numId="13" w16cid:durableId="1473329380">
    <w:abstractNumId w:val="5"/>
    <w:lvlOverride w:ilvl="0">
      <w:startOverride w:val="1"/>
      <w:lvl w:ilvl="0" w:tplc="D8CA7846">
        <w:start w:val="1"/>
        <w:numFmt w:val="bullet"/>
        <w:lvlText w:val=""/>
        <w:lvlJc w:val="right"/>
        <w:pPr>
          <w:ind w:left="500" w:hanging="180"/>
        </w:pPr>
        <w:rPr>
          <w:rFonts w:ascii="Symbol" w:hAnsi="Symbol" w:hint="default"/>
        </w:rPr>
      </w:lvl>
    </w:lvlOverride>
    <w:lvlOverride w:ilvl="1">
      <w:startOverride w:val="1"/>
      <w:lvl w:ilvl="1" w:tplc="7E4A5E14">
        <w:start w:val="1"/>
        <w:numFmt w:val="decimal"/>
        <w:lvlText w:val="%2."/>
        <w:lvlJc w:val="right"/>
        <w:pPr>
          <w:ind w:left="1000" w:hanging="180"/>
        </w:pPr>
      </w:lvl>
    </w:lvlOverride>
    <w:lvlOverride w:ilvl="2">
      <w:startOverride w:val="1"/>
      <w:lvl w:ilvl="2" w:tplc="9F063B40">
        <w:start w:val="1"/>
        <w:numFmt w:val="decimal"/>
        <w:lvlText w:val="%3."/>
        <w:lvlJc w:val="right"/>
        <w:pPr>
          <w:ind w:left="1500" w:hanging="180"/>
        </w:pPr>
      </w:lvl>
    </w:lvlOverride>
    <w:lvlOverride w:ilvl="3">
      <w:startOverride w:val="1"/>
      <w:lvl w:ilvl="3" w:tplc="83468230">
        <w:start w:val="1"/>
        <w:numFmt w:val="decimal"/>
        <w:lvlText w:val="%4."/>
        <w:lvlJc w:val="right"/>
        <w:pPr>
          <w:ind w:left="2000" w:hanging="180"/>
        </w:pPr>
      </w:lvl>
    </w:lvlOverride>
    <w:lvlOverride w:ilvl="4">
      <w:startOverride w:val="1"/>
      <w:lvl w:ilvl="4" w:tplc="F0301C18">
        <w:start w:val="1"/>
        <w:numFmt w:val="decimal"/>
        <w:lvlText w:val="%5."/>
        <w:lvlJc w:val="right"/>
        <w:pPr>
          <w:ind w:left="2500" w:hanging="180"/>
        </w:pPr>
      </w:lvl>
    </w:lvlOverride>
    <w:lvlOverride w:ilvl="5">
      <w:startOverride w:val="1"/>
      <w:lvl w:ilvl="5" w:tplc="4A4EEDDC">
        <w:start w:val="1"/>
        <w:numFmt w:val="decimal"/>
        <w:lvlText w:val="%6."/>
        <w:lvlJc w:val="right"/>
        <w:pPr>
          <w:ind w:left="3000" w:hanging="180"/>
        </w:pPr>
      </w:lvl>
    </w:lvlOverride>
    <w:lvlOverride w:ilvl="6">
      <w:startOverride w:val="1"/>
      <w:lvl w:ilvl="6" w:tplc="93525A42">
        <w:start w:val="1"/>
        <w:numFmt w:val="decimal"/>
        <w:lvlText w:val="%7."/>
        <w:lvlJc w:val="right"/>
        <w:pPr>
          <w:ind w:left="3500" w:hanging="180"/>
        </w:pPr>
      </w:lvl>
    </w:lvlOverride>
    <w:lvlOverride w:ilvl="7">
      <w:startOverride w:val="1"/>
      <w:lvl w:ilvl="7" w:tplc="27F419E2">
        <w:start w:val="1"/>
        <w:numFmt w:val="decimal"/>
        <w:lvlText w:val="%8."/>
        <w:lvlJc w:val="right"/>
        <w:pPr>
          <w:ind w:left="4000" w:hanging="180"/>
        </w:pPr>
      </w:lvl>
    </w:lvlOverride>
    <w:lvlOverride w:ilvl="8">
      <w:startOverride w:val="1"/>
      <w:lvl w:ilvl="8" w:tplc="465A374A">
        <w:start w:val="1"/>
        <w:numFmt w:val="decimal"/>
        <w:lvlText w:val="%9."/>
        <w:lvlJc w:val="right"/>
        <w:pPr>
          <w:ind w:left="4500" w:hanging="180"/>
        </w:pPr>
      </w:lvl>
    </w:lvlOverride>
  </w:num>
  <w:num w:numId="14" w16cid:durableId="1145779289">
    <w:abstractNumId w:val="0"/>
    <w:lvlOverride w:ilvl="0">
      <w:startOverride w:val="1"/>
      <w:lvl w:ilvl="0" w:tplc="A4468612">
        <w:start w:val="1"/>
        <w:numFmt w:val="bullet"/>
        <w:lvlText w:val=""/>
        <w:lvlJc w:val="right"/>
        <w:pPr>
          <w:ind w:left="500" w:hanging="180"/>
        </w:pPr>
        <w:rPr>
          <w:rFonts w:ascii="Symbol" w:hAnsi="Symbol" w:hint="default"/>
        </w:rPr>
      </w:lvl>
    </w:lvlOverride>
    <w:lvlOverride w:ilvl="1">
      <w:startOverride w:val="1"/>
      <w:lvl w:ilvl="1" w:tplc="F736967A">
        <w:start w:val="1"/>
        <w:numFmt w:val="decimal"/>
        <w:lvlText w:val="%2."/>
        <w:lvlJc w:val="right"/>
        <w:pPr>
          <w:ind w:left="1000" w:hanging="180"/>
        </w:pPr>
      </w:lvl>
    </w:lvlOverride>
    <w:lvlOverride w:ilvl="2">
      <w:startOverride w:val="1"/>
      <w:lvl w:ilvl="2" w:tplc="4ABC6458">
        <w:start w:val="1"/>
        <w:numFmt w:val="decimal"/>
        <w:lvlText w:val="%3."/>
        <w:lvlJc w:val="right"/>
        <w:pPr>
          <w:ind w:left="1500" w:hanging="180"/>
        </w:pPr>
      </w:lvl>
    </w:lvlOverride>
    <w:lvlOverride w:ilvl="3">
      <w:startOverride w:val="1"/>
      <w:lvl w:ilvl="3" w:tplc="F4EA637E">
        <w:start w:val="1"/>
        <w:numFmt w:val="decimal"/>
        <w:lvlText w:val="%4."/>
        <w:lvlJc w:val="right"/>
        <w:pPr>
          <w:ind w:left="2000" w:hanging="180"/>
        </w:pPr>
      </w:lvl>
    </w:lvlOverride>
    <w:lvlOverride w:ilvl="4">
      <w:startOverride w:val="1"/>
      <w:lvl w:ilvl="4" w:tplc="4530D120">
        <w:start w:val="1"/>
        <w:numFmt w:val="decimal"/>
        <w:lvlText w:val="%5."/>
        <w:lvlJc w:val="right"/>
        <w:pPr>
          <w:ind w:left="2500" w:hanging="180"/>
        </w:pPr>
      </w:lvl>
    </w:lvlOverride>
    <w:lvlOverride w:ilvl="5">
      <w:startOverride w:val="1"/>
      <w:lvl w:ilvl="5" w:tplc="3B7C830A">
        <w:start w:val="1"/>
        <w:numFmt w:val="decimal"/>
        <w:lvlText w:val="%6."/>
        <w:lvlJc w:val="right"/>
        <w:pPr>
          <w:ind w:left="3000" w:hanging="180"/>
        </w:pPr>
      </w:lvl>
    </w:lvlOverride>
    <w:lvlOverride w:ilvl="6">
      <w:startOverride w:val="1"/>
      <w:lvl w:ilvl="6" w:tplc="B1EC615A">
        <w:start w:val="1"/>
        <w:numFmt w:val="decimal"/>
        <w:lvlText w:val="%7."/>
        <w:lvlJc w:val="right"/>
        <w:pPr>
          <w:ind w:left="3500" w:hanging="180"/>
        </w:pPr>
      </w:lvl>
    </w:lvlOverride>
    <w:lvlOverride w:ilvl="7">
      <w:startOverride w:val="1"/>
      <w:lvl w:ilvl="7" w:tplc="202A49C6">
        <w:start w:val="1"/>
        <w:numFmt w:val="decimal"/>
        <w:lvlText w:val="%8."/>
        <w:lvlJc w:val="right"/>
        <w:pPr>
          <w:ind w:left="4000" w:hanging="180"/>
        </w:pPr>
      </w:lvl>
    </w:lvlOverride>
    <w:lvlOverride w:ilvl="8">
      <w:startOverride w:val="1"/>
      <w:lvl w:ilvl="8" w:tplc="A5AE8764">
        <w:start w:val="1"/>
        <w:numFmt w:val="decimal"/>
        <w:lvlText w:val="%9."/>
        <w:lvlJc w:val="right"/>
        <w:pPr>
          <w:ind w:left="4500" w:hanging="180"/>
        </w:pPr>
      </w:lvl>
    </w:lvlOverride>
  </w:num>
  <w:num w:numId="15" w16cid:durableId="1415779928">
    <w:abstractNumId w:val="3"/>
    <w:lvlOverride w:ilvl="0">
      <w:startOverride w:val="1"/>
      <w:lvl w:ilvl="0" w:tplc="5768BC50">
        <w:start w:val="1"/>
        <w:numFmt w:val="bullet"/>
        <w:pStyle w:val="BulletParagraph"/>
        <w:lvlText w:val=""/>
        <w:lvlJc w:val="right"/>
        <w:pPr>
          <w:ind w:left="500" w:hanging="180"/>
        </w:pPr>
        <w:rPr>
          <w:rFonts w:ascii="Symbol" w:hAnsi="Symbol" w:hint="default"/>
        </w:rPr>
      </w:lvl>
    </w:lvlOverride>
    <w:lvlOverride w:ilvl="1">
      <w:startOverride w:val="1"/>
      <w:lvl w:ilvl="1" w:tplc="D24405EE">
        <w:start w:val="1"/>
        <w:numFmt w:val="decimal"/>
        <w:lvlText w:val="%2."/>
        <w:lvlJc w:val="right"/>
        <w:pPr>
          <w:ind w:left="1000" w:hanging="180"/>
        </w:pPr>
      </w:lvl>
    </w:lvlOverride>
    <w:lvlOverride w:ilvl="2">
      <w:startOverride w:val="1"/>
      <w:lvl w:ilvl="2" w:tplc="DAA8EAEE">
        <w:start w:val="1"/>
        <w:numFmt w:val="decimal"/>
        <w:lvlText w:val="%3."/>
        <w:lvlJc w:val="right"/>
        <w:pPr>
          <w:ind w:left="1500" w:hanging="180"/>
        </w:pPr>
      </w:lvl>
    </w:lvlOverride>
    <w:lvlOverride w:ilvl="3">
      <w:startOverride w:val="1"/>
      <w:lvl w:ilvl="3" w:tplc="2B3E5DF4">
        <w:start w:val="1"/>
        <w:numFmt w:val="decimal"/>
        <w:lvlText w:val="%4."/>
        <w:lvlJc w:val="right"/>
        <w:pPr>
          <w:ind w:left="2000" w:hanging="180"/>
        </w:pPr>
      </w:lvl>
    </w:lvlOverride>
    <w:lvlOverride w:ilvl="4">
      <w:startOverride w:val="1"/>
      <w:lvl w:ilvl="4" w:tplc="B82296BA">
        <w:start w:val="1"/>
        <w:numFmt w:val="decimal"/>
        <w:lvlText w:val="%5."/>
        <w:lvlJc w:val="right"/>
        <w:pPr>
          <w:ind w:left="2500" w:hanging="180"/>
        </w:pPr>
      </w:lvl>
    </w:lvlOverride>
    <w:lvlOverride w:ilvl="5">
      <w:startOverride w:val="1"/>
      <w:lvl w:ilvl="5" w:tplc="E57AFBAA">
        <w:start w:val="1"/>
        <w:numFmt w:val="decimal"/>
        <w:lvlText w:val="%6."/>
        <w:lvlJc w:val="right"/>
        <w:pPr>
          <w:ind w:left="3000" w:hanging="180"/>
        </w:pPr>
      </w:lvl>
    </w:lvlOverride>
    <w:lvlOverride w:ilvl="6">
      <w:startOverride w:val="1"/>
      <w:lvl w:ilvl="6" w:tplc="353822F4">
        <w:start w:val="1"/>
        <w:numFmt w:val="decimal"/>
        <w:lvlText w:val="%7."/>
        <w:lvlJc w:val="right"/>
        <w:pPr>
          <w:ind w:left="3500" w:hanging="180"/>
        </w:pPr>
      </w:lvl>
    </w:lvlOverride>
    <w:lvlOverride w:ilvl="7">
      <w:startOverride w:val="1"/>
      <w:lvl w:ilvl="7" w:tplc="4EF20C7E">
        <w:start w:val="1"/>
        <w:numFmt w:val="decimal"/>
        <w:lvlText w:val="%8."/>
        <w:lvlJc w:val="right"/>
        <w:pPr>
          <w:ind w:left="4000" w:hanging="180"/>
        </w:pPr>
      </w:lvl>
    </w:lvlOverride>
    <w:lvlOverride w:ilvl="8">
      <w:startOverride w:val="1"/>
      <w:lvl w:ilvl="8" w:tplc="A1384A50">
        <w:start w:val="1"/>
        <w:numFmt w:val="decimal"/>
        <w:lvlText w:val="%9."/>
        <w:lvlJc w:val="right"/>
        <w:pPr>
          <w:ind w:left="4500" w:hanging="180"/>
        </w:pPr>
      </w:lvl>
    </w:lvlOverride>
  </w:num>
  <w:num w:numId="16" w16cid:durableId="1885361262">
    <w:abstractNumId w:val="12"/>
    <w:lvlOverride w:ilvl="0">
      <w:startOverride w:val="1"/>
      <w:lvl w:ilvl="0" w:tplc="4D8EB3DE">
        <w:start w:val="1"/>
        <w:numFmt w:val="bullet"/>
        <w:lvlText w:val=""/>
        <w:lvlJc w:val="right"/>
        <w:pPr>
          <w:ind w:left="500" w:hanging="180"/>
        </w:pPr>
        <w:rPr>
          <w:rFonts w:ascii="Symbol" w:hAnsi="Symbol" w:hint="default"/>
        </w:rPr>
      </w:lvl>
    </w:lvlOverride>
    <w:lvlOverride w:ilvl="1">
      <w:startOverride w:val="1"/>
      <w:lvl w:ilvl="1" w:tplc="FCBEB414">
        <w:start w:val="1"/>
        <w:numFmt w:val="decimal"/>
        <w:lvlText w:val="%2."/>
        <w:lvlJc w:val="right"/>
        <w:pPr>
          <w:ind w:left="1000" w:hanging="180"/>
        </w:pPr>
      </w:lvl>
    </w:lvlOverride>
    <w:lvlOverride w:ilvl="2">
      <w:startOverride w:val="1"/>
      <w:lvl w:ilvl="2" w:tplc="F352386E">
        <w:start w:val="1"/>
        <w:numFmt w:val="decimal"/>
        <w:lvlText w:val="%3."/>
        <w:lvlJc w:val="right"/>
        <w:pPr>
          <w:ind w:left="1500" w:hanging="180"/>
        </w:pPr>
      </w:lvl>
    </w:lvlOverride>
    <w:lvlOverride w:ilvl="3">
      <w:startOverride w:val="1"/>
      <w:lvl w:ilvl="3" w:tplc="6604062A">
        <w:start w:val="1"/>
        <w:numFmt w:val="decimal"/>
        <w:lvlText w:val="%4."/>
        <w:lvlJc w:val="right"/>
        <w:pPr>
          <w:ind w:left="2000" w:hanging="180"/>
        </w:pPr>
      </w:lvl>
    </w:lvlOverride>
    <w:lvlOverride w:ilvl="4">
      <w:startOverride w:val="1"/>
      <w:lvl w:ilvl="4" w:tplc="E7B22D6A">
        <w:start w:val="1"/>
        <w:numFmt w:val="decimal"/>
        <w:lvlText w:val="%5."/>
        <w:lvlJc w:val="right"/>
        <w:pPr>
          <w:ind w:left="2500" w:hanging="180"/>
        </w:pPr>
      </w:lvl>
    </w:lvlOverride>
    <w:lvlOverride w:ilvl="5">
      <w:startOverride w:val="1"/>
      <w:lvl w:ilvl="5" w:tplc="C2D852D6">
        <w:start w:val="1"/>
        <w:numFmt w:val="decimal"/>
        <w:lvlText w:val="%6."/>
        <w:lvlJc w:val="right"/>
        <w:pPr>
          <w:ind w:left="3000" w:hanging="180"/>
        </w:pPr>
      </w:lvl>
    </w:lvlOverride>
    <w:lvlOverride w:ilvl="6">
      <w:startOverride w:val="1"/>
      <w:lvl w:ilvl="6" w:tplc="6C346022">
        <w:start w:val="1"/>
        <w:numFmt w:val="decimal"/>
        <w:lvlText w:val="%7."/>
        <w:lvlJc w:val="right"/>
        <w:pPr>
          <w:ind w:left="3500" w:hanging="180"/>
        </w:pPr>
      </w:lvl>
    </w:lvlOverride>
    <w:lvlOverride w:ilvl="7">
      <w:startOverride w:val="1"/>
      <w:lvl w:ilvl="7" w:tplc="64F47978">
        <w:start w:val="1"/>
        <w:numFmt w:val="decimal"/>
        <w:lvlText w:val="%8."/>
        <w:lvlJc w:val="right"/>
        <w:pPr>
          <w:ind w:left="4000" w:hanging="180"/>
        </w:pPr>
      </w:lvl>
    </w:lvlOverride>
    <w:lvlOverride w:ilvl="8">
      <w:startOverride w:val="1"/>
      <w:lvl w:ilvl="8" w:tplc="950C9B4C">
        <w:start w:val="1"/>
        <w:numFmt w:val="decimal"/>
        <w:lvlText w:val="%9."/>
        <w:lvlJc w:val="right"/>
        <w:pPr>
          <w:ind w:left="4500" w:hanging="180"/>
        </w:pPr>
      </w:lvl>
    </w:lvlOverride>
  </w:num>
  <w:num w:numId="17" w16cid:durableId="1194415022">
    <w:abstractNumId w:val="12"/>
    <w:lvlOverride w:ilvl="0">
      <w:startOverride w:val="1"/>
      <w:lvl w:ilvl="0" w:tplc="4D8EB3DE">
        <w:start w:val="1"/>
        <w:numFmt w:val="bullet"/>
        <w:lvlText w:val=""/>
        <w:lvlJc w:val="right"/>
        <w:pPr>
          <w:ind w:left="500" w:hanging="180"/>
        </w:pPr>
        <w:rPr>
          <w:rFonts w:ascii="Symbol" w:hAnsi="Symbol" w:hint="default"/>
        </w:rPr>
      </w:lvl>
    </w:lvlOverride>
    <w:lvlOverride w:ilvl="1">
      <w:startOverride w:val="1"/>
      <w:lvl w:ilvl="1" w:tplc="FCBEB414">
        <w:start w:val="1"/>
        <w:numFmt w:val="decimal"/>
        <w:lvlText w:val="%2."/>
        <w:lvlJc w:val="right"/>
        <w:pPr>
          <w:ind w:left="1000" w:hanging="180"/>
        </w:pPr>
      </w:lvl>
    </w:lvlOverride>
    <w:lvlOverride w:ilvl="2">
      <w:startOverride w:val="1"/>
      <w:lvl w:ilvl="2" w:tplc="F352386E">
        <w:start w:val="1"/>
        <w:numFmt w:val="decimal"/>
        <w:lvlText w:val="%3."/>
        <w:lvlJc w:val="right"/>
        <w:pPr>
          <w:ind w:left="1500" w:hanging="180"/>
        </w:pPr>
      </w:lvl>
    </w:lvlOverride>
    <w:lvlOverride w:ilvl="3">
      <w:startOverride w:val="1"/>
      <w:lvl w:ilvl="3" w:tplc="6604062A">
        <w:start w:val="1"/>
        <w:numFmt w:val="decimal"/>
        <w:lvlText w:val="%4."/>
        <w:lvlJc w:val="right"/>
        <w:pPr>
          <w:ind w:left="2000" w:hanging="180"/>
        </w:pPr>
      </w:lvl>
    </w:lvlOverride>
    <w:lvlOverride w:ilvl="4">
      <w:startOverride w:val="1"/>
      <w:lvl w:ilvl="4" w:tplc="E7B22D6A">
        <w:start w:val="1"/>
        <w:numFmt w:val="decimal"/>
        <w:lvlText w:val="%5."/>
        <w:lvlJc w:val="right"/>
        <w:pPr>
          <w:ind w:left="2500" w:hanging="180"/>
        </w:pPr>
      </w:lvl>
    </w:lvlOverride>
    <w:lvlOverride w:ilvl="5">
      <w:startOverride w:val="1"/>
      <w:lvl w:ilvl="5" w:tplc="C2D852D6">
        <w:start w:val="1"/>
        <w:numFmt w:val="decimal"/>
        <w:lvlText w:val="%6."/>
        <w:lvlJc w:val="right"/>
        <w:pPr>
          <w:ind w:left="3000" w:hanging="180"/>
        </w:pPr>
      </w:lvl>
    </w:lvlOverride>
    <w:lvlOverride w:ilvl="6">
      <w:startOverride w:val="1"/>
      <w:lvl w:ilvl="6" w:tplc="6C346022">
        <w:start w:val="1"/>
        <w:numFmt w:val="decimal"/>
        <w:lvlText w:val="%7."/>
        <w:lvlJc w:val="right"/>
        <w:pPr>
          <w:ind w:left="3500" w:hanging="180"/>
        </w:pPr>
      </w:lvl>
    </w:lvlOverride>
    <w:lvlOverride w:ilvl="7">
      <w:startOverride w:val="1"/>
      <w:lvl w:ilvl="7" w:tplc="64F47978">
        <w:start w:val="1"/>
        <w:numFmt w:val="decimal"/>
        <w:lvlText w:val="%8."/>
        <w:lvlJc w:val="right"/>
        <w:pPr>
          <w:ind w:left="4000" w:hanging="180"/>
        </w:pPr>
      </w:lvl>
    </w:lvlOverride>
    <w:lvlOverride w:ilvl="8">
      <w:startOverride w:val="1"/>
      <w:lvl w:ilvl="8" w:tplc="950C9B4C">
        <w:start w:val="1"/>
        <w:numFmt w:val="decimal"/>
        <w:lvlText w:val="%9."/>
        <w:lvlJc w:val="right"/>
        <w:pPr>
          <w:ind w:left="4500" w:hanging="180"/>
        </w:pPr>
      </w:lvl>
    </w:lvlOverride>
  </w:num>
  <w:num w:numId="18" w16cid:durableId="428894461">
    <w:abstractNumId w:val="12"/>
    <w:lvlOverride w:ilvl="0">
      <w:startOverride w:val="1"/>
      <w:lvl w:ilvl="0" w:tplc="4D8EB3DE">
        <w:start w:val="1"/>
        <w:numFmt w:val="bullet"/>
        <w:lvlText w:val=""/>
        <w:lvlJc w:val="right"/>
        <w:pPr>
          <w:ind w:left="500" w:hanging="180"/>
        </w:pPr>
        <w:rPr>
          <w:rFonts w:ascii="Symbol" w:hAnsi="Symbol" w:hint="default"/>
        </w:rPr>
      </w:lvl>
    </w:lvlOverride>
    <w:lvlOverride w:ilvl="1">
      <w:startOverride w:val="1"/>
      <w:lvl w:ilvl="1" w:tplc="FCBEB414">
        <w:start w:val="1"/>
        <w:numFmt w:val="decimal"/>
        <w:lvlText w:val="%2."/>
        <w:lvlJc w:val="right"/>
        <w:pPr>
          <w:ind w:left="1000" w:hanging="180"/>
        </w:pPr>
      </w:lvl>
    </w:lvlOverride>
    <w:lvlOverride w:ilvl="2">
      <w:startOverride w:val="1"/>
      <w:lvl w:ilvl="2" w:tplc="F352386E">
        <w:start w:val="1"/>
        <w:numFmt w:val="decimal"/>
        <w:lvlText w:val="%3."/>
        <w:lvlJc w:val="right"/>
        <w:pPr>
          <w:ind w:left="1500" w:hanging="180"/>
        </w:pPr>
      </w:lvl>
    </w:lvlOverride>
    <w:lvlOverride w:ilvl="3">
      <w:startOverride w:val="1"/>
      <w:lvl w:ilvl="3" w:tplc="6604062A">
        <w:start w:val="1"/>
        <w:numFmt w:val="decimal"/>
        <w:lvlText w:val="%4."/>
        <w:lvlJc w:val="right"/>
        <w:pPr>
          <w:ind w:left="2000" w:hanging="180"/>
        </w:pPr>
      </w:lvl>
    </w:lvlOverride>
    <w:lvlOverride w:ilvl="4">
      <w:startOverride w:val="1"/>
      <w:lvl w:ilvl="4" w:tplc="E7B22D6A">
        <w:start w:val="1"/>
        <w:numFmt w:val="decimal"/>
        <w:lvlText w:val="%5."/>
        <w:lvlJc w:val="right"/>
        <w:pPr>
          <w:ind w:left="2500" w:hanging="180"/>
        </w:pPr>
      </w:lvl>
    </w:lvlOverride>
    <w:lvlOverride w:ilvl="5">
      <w:startOverride w:val="1"/>
      <w:lvl w:ilvl="5" w:tplc="C2D852D6">
        <w:start w:val="1"/>
        <w:numFmt w:val="decimal"/>
        <w:lvlText w:val="%6."/>
        <w:lvlJc w:val="right"/>
        <w:pPr>
          <w:ind w:left="3000" w:hanging="180"/>
        </w:pPr>
      </w:lvl>
    </w:lvlOverride>
    <w:lvlOverride w:ilvl="6">
      <w:startOverride w:val="1"/>
      <w:lvl w:ilvl="6" w:tplc="6C346022">
        <w:start w:val="1"/>
        <w:numFmt w:val="decimal"/>
        <w:lvlText w:val="%7."/>
        <w:lvlJc w:val="right"/>
        <w:pPr>
          <w:ind w:left="3500" w:hanging="180"/>
        </w:pPr>
      </w:lvl>
    </w:lvlOverride>
    <w:lvlOverride w:ilvl="7">
      <w:startOverride w:val="1"/>
      <w:lvl w:ilvl="7" w:tplc="64F47978">
        <w:start w:val="1"/>
        <w:numFmt w:val="decimal"/>
        <w:lvlText w:val="%8."/>
        <w:lvlJc w:val="right"/>
        <w:pPr>
          <w:ind w:left="4000" w:hanging="180"/>
        </w:pPr>
      </w:lvl>
    </w:lvlOverride>
    <w:lvlOverride w:ilvl="8">
      <w:startOverride w:val="1"/>
      <w:lvl w:ilvl="8" w:tplc="950C9B4C">
        <w:start w:val="1"/>
        <w:numFmt w:val="decimal"/>
        <w:lvlText w:val="%9."/>
        <w:lvlJc w:val="right"/>
        <w:pPr>
          <w:ind w:left="4500" w:hanging="180"/>
        </w:pPr>
      </w:lvl>
    </w:lvlOverride>
  </w:num>
  <w:num w:numId="19" w16cid:durableId="518276701">
    <w:abstractNumId w:val="8"/>
    <w:lvlOverride w:ilvl="0">
      <w:startOverride w:val="1"/>
      <w:lvl w:ilvl="0" w:tplc="B5F27616">
        <w:start w:val="1"/>
        <w:numFmt w:val="bullet"/>
        <w:lvlText w:val=""/>
        <w:lvlJc w:val="right"/>
        <w:pPr>
          <w:ind w:left="500" w:hanging="180"/>
        </w:pPr>
        <w:rPr>
          <w:rFonts w:ascii="Symbol" w:hAnsi="Symbol" w:hint="default"/>
        </w:rPr>
      </w:lvl>
    </w:lvlOverride>
    <w:lvlOverride w:ilvl="1">
      <w:startOverride w:val="1"/>
      <w:lvl w:ilvl="1" w:tplc="CA6E5E7C">
        <w:start w:val="1"/>
        <w:numFmt w:val="decimal"/>
        <w:lvlText w:val="%2."/>
        <w:lvlJc w:val="right"/>
        <w:pPr>
          <w:ind w:left="1000" w:hanging="180"/>
        </w:pPr>
      </w:lvl>
    </w:lvlOverride>
    <w:lvlOverride w:ilvl="2">
      <w:startOverride w:val="1"/>
      <w:lvl w:ilvl="2" w:tplc="410A8B10">
        <w:start w:val="1"/>
        <w:numFmt w:val="decimal"/>
        <w:lvlText w:val="%3."/>
        <w:lvlJc w:val="right"/>
        <w:pPr>
          <w:ind w:left="1500" w:hanging="180"/>
        </w:pPr>
      </w:lvl>
    </w:lvlOverride>
    <w:lvlOverride w:ilvl="3">
      <w:startOverride w:val="1"/>
      <w:lvl w:ilvl="3" w:tplc="500C3828">
        <w:start w:val="1"/>
        <w:numFmt w:val="decimal"/>
        <w:lvlText w:val="%4."/>
        <w:lvlJc w:val="right"/>
        <w:pPr>
          <w:ind w:left="2000" w:hanging="180"/>
        </w:pPr>
      </w:lvl>
    </w:lvlOverride>
    <w:lvlOverride w:ilvl="4">
      <w:startOverride w:val="1"/>
      <w:lvl w:ilvl="4" w:tplc="AAFC1BBE">
        <w:start w:val="1"/>
        <w:numFmt w:val="decimal"/>
        <w:lvlText w:val="%5."/>
        <w:lvlJc w:val="right"/>
        <w:pPr>
          <w:ind w:left="2500" w:hanging="180"/>
        </w:pPr>
      </w:lvl>
    </w:lvlOverride>
    <w:lvlOverride w:ilvl="5">
      <w:startOverride w:val="1"/>
      <w:lvl w:ilvl="5" w:tplc="BE20757A">
        <w:start w:val="1"/>
        <w:numFmt w:val="decimal"/>
        <w:lvlText w:val="%6."/>
        <w:lvlJc w:val="right"/>
        <w:pPr>
          <w:ind w:left="3000" w:hanging="180"/>
        </w:pPr>
      </w:lvl>
    </w:lvlOverride>
    <w:lvlOverride w:ilvl="6">
      <w:startOverride w:val="1"/>
      <w:lvl w:ilvl="6" w:tplc="6BFE7CB2">
        <w:start w:val="1"/>
        <w:numFmt w:val="decimal"/>
        <w:lvlText w:val="%7."/>
        <w:lvlJc w:val="right"/>
        <w:pPr>
          <w:ind w:left="3500" w:hanging="180"/>
        </w:pPr>
      </w:lvl>
    </w:lvlOverride>
    <w:lvlOverride w:ilvl="7">
      <w:startOverride w:val="1"/>
      <w:lvl w:ilvl="7" w:tplc="313EA734">
        <w:start w:val="1"/>
        <w:numFmt w:val="decimal"/>
        <w:lvlText w:val="%8."/>
        <w:lvlJc w:val="right"/>
        <w:pPr>
          <w:ind w:left="4000" w:hanging="180"/>
        </w:pPr>
      </w:lvl>
    </w:lvlOverride>
    <w:lvlOverride w:ilvl="8">
      <w:startOverride w:val="1"/>
      <w:lvl w:ilvl="8" w:tplc="0A3E4778">
        <w:start w:val="1"/>
        <w:numFmt w:val="decimal"/>
        <w:lvlText w:val="%9."/>
        <w:lvlJc w:val="right"/>
        <w:pPr>
          <w:ind w:left="4500" w:hanging="180"/>
        </w:pPr>
      </w:lvl>
    </w:lvlOverride>
  </w:num>
  <w:num w:numId="20" w16cid:durableId="267085088">
    <w:abstractNumId w:val="8"/>
    <w:lvlOverride w:ilvl="0">
      <w:startOverride w:val="1"/>
      <w:lvl w:ilvl="0" w:tplc="B5F27616">
        <w:start w:val="1"/>
        <w:numFmt w:val="bullet"/>
        <w:lvlText w:val=""/>
        <w:lvlJc w:val="right"/>
        <w:pPr>
          <w:ind w:left="500" w:hanging="180"/>
        </w:pPr>
        <w:rPr>
          <w:rFonts w:ascii="Symbol" w:hAnsi="Symbol" w:hint="default"/>
        </w:rPr>
      </w:lvl>
    </w:lvlOverride>
    <w:lvlOverride w:ilvl="1">
      <w:startOverride w:val="1"/>
      <w:lvl w:ilvl="1" w:tplc="CA6E5E7C">
        <w:start w:val="1"/>
        <w:numFmt w:val="decimal"/>
        <w:lvlText w:val="%2."/>
        <w:lvlJc w:val="right"/>
        <w:pPr>
          <w:ind w:left="1000" w:hanging="180"/>
        </w:pPr>
      </w:lvl>
    </w:lvlOverride>
    <w:lvlOverride w:ilvl="2">
      <w:startOverride w:val="1"/>
      <w:lvl w:ilvl="2" w:tplc="410A8B10">
        <w:start w:val="1"/>
        <w:numFmt w:val="decimal"/>
        <w:lvlText w:val="%3."/>
        <w:lvlJc w:val="right"/>
        <w:pPr>
          <w:ind w:left="1500" w:hanging="180"/>
        </w:pPr>
      </w:lvl>
    </w:lvlOverride>
    <w:lvlOverride w:ilvl="3">
      <w:startOverride w:val="1"/>
      <w:lvl w:ilvl="3" w:tplc="500C3828">
        <w:start w:val="1"/>
        <w:numFmt w:val="decimal"/>
        <w:lvlText w:val="%4."/>
        <w:lvlJc w:val="right"/>
        <w:pPr>
          <w:ind w:left="2000" w:hanging="180"/>
        </w:pPr>
      </w:lvl>
    </w:lvlOverride>
    <w:lvlOverride w:ilvl="4">
      <w:startOverride w:val="1"/>
      <w:lvl w:ilvl="4" w:tplc="AAFC1BBE">
        <w:start w:val="1"/>
        <w:numFmt w:val="decimal"/>
        <w:lvlText w:val="%5."/>
        <w:lvlJc w:val="right"/>
        <w:pPr>
          <w:ind w:left="2500" w:hanging="180"/>
        </w:pPr>
      </w:lvl>
    </w:lvlOverride>
    <w:lvlOverride w:ilvl="5">
      <w:startOverride w:val="1"/>
      <w:lvl w:ilvl="5" w:tplc="BE20757A">
        <w:start w:val="1"/>
        <w:numFmt w:val="decimal"/>
        <w:lvlText w:val="%6."/>
        <w:lvlJc w:val="right"/>
        <w:pPr>
          <w:ind w:left="3000" w:hanging="180"/>
        </w:pPr>
      </w:lvl>
    </w:lvlOverride>
    <w:lvlOverride w:ilvl="6">
      <w:startOverride w:val="1"/>
      <w:lvl w:ilvl="6" w:tplc="6BFE7CB2">
        <w:start w:val="1"/>
        <w:numFmt w:val="decimal"/>
        <w:lvlText w:val="%7."/>
        <w:lvlJc w:val="right"/>
        <w:pPr>
          <w:ind w:left="3500" w:hanging="180"/>
        </w:pPr>
      </w:lvl>
    </w:lvlOverride>
    <w:lvlOverride w:ilvl="7">
      <w:startOverride w:val="1"/>
      <w:lvl w:ilvl="7" w:tplc="313EA734">
        <w:start w:val="1"/>
        <w:numFmt w:val="decimal"/>
        <w:lvlText w:val="%8."/>
        <w:lvlJc w:val="right"/>
        <w:pPr>
          <w:ind w:left="4000" w:hanging="180"/>
        </w:pPr>
      </w:lvl>
    </w:lvlOverride>
    <w:lvlOverride w:ilvl="8">
      <w:startOverride w:val="1"/>
      <w:lvl w:ilvl="8" w:tplc="0A3E4778">
        <w:start w:val="1"/>
        <w:numFmt w:val="decimal"/>
        <w:lvlText w:val="%9."/>
        <w:lvlJc w:val="right"/>
        <w:pPr>
          <w:ind w:left="4500" w:hanging="180"/>
        </w:pPr>
      </w:lvl>
    </w:lvlOverride>
  </w:num>
  <w:num w:numId="21" w16cid:durableId="374500975">
    <w:abstractNumId w:val="8"/>
    <w:lvlOverride w:ilvl="0">
      <w:startOverride w:val="1"/>
      <w:lvl w:ilvl="0" w:tplc="B5F27616">
        <w:start w:val="1"/>
        <w:numFmt w:val="bullet"/>
        <w:lvlText w:val=""/>
        <w:lvlJc w:val="right"/>
        <w:pPr>
          <w:ind w:left="500" w:hanging="180"/>
        </w:pPr>
        <w:rPr>
          <w:rFonts w:ascii="Symbol" w:hAnsi="Symbol" w:hint="default"/>
        </w:rPr>
      </w:lvl>
    </w:lvlOverride>
    <w:lvlOverride w:ilvl="1">
      <w:startOverride w:val="1"/>
      <w:lvl w:ilvl="1" w:tplc="CA6E5E7C">
        <w:start w:val="1"/>
        <w:numFmt w:val="decimal"/>
        <w:lvlText w:val="%2."/>
        <w:lvlJc w:val="right"/>
        <w:pPr>
          <w:ind w:left="1000" w:hanging="180"/>
        </w:pPr>
      </w:lvl>
    </w:lvlOverride>
    <w:lvlOverride w:ilvl="2">
      <w:startOverride w:val="1"/>
      <w:lvl w:ilvl="2" w:tplc="410A8B10">
        <w:start w:val="1"/>
        <w:numFmt w:val="decimal"/>
        <w:lvlText w:val="%3."/>
        <w:lvlJc w:val="right"/>
        <w:pPr>
          <w:ind w:left="1500" w:hanging="180"/>
        </w:pPr>
      </w:lvl>
    </w:lvlOverride>
    <w:lvlOverride w:ilvl="3">
      <w:startOverride w:val="1"/>
      <w:lvl w:ilvl="3" w:tplc="500C3828">
        <w:start w:val="1"/>
        <w:numFmt w:val="decimal"/>
        <w:lvlText w:val="%4."/>
        <w:lvlJc w:val="right"/>
        <w:pPr>
          <w:ind w:left="2000" w:hanging="180"/>
        </w:pPr>
      </w:lvl>
    </w:lvlOverride>
    <w:lvlOverride w:ilvl="4">
      <w:startOverride w:val="1"/>
      <w:lvl w:ilvl="4" w:tplc="AAFC1BBE">
        <w:start w:val="1"/>
        <w:numFmt w:val="decimal"/>
        <w:lvlText w:val="%5."/>
        <w:lvlJc w:val="right"/>
        <w:pPr>
          <w:ind w:left="2500" w:hanging="180"/>
        </w:pPr>
      </w:lvl>
    </w:lvlOverride>
    <w:lvlOverride w:ilvl="5">
      <w:startOverride w:val="1"/>
      <w:lvl w:ilvl="5" w:tplc="BE20757A">
        <w:start w:val="1"/>
        <w:numFmt w:val="decimal"/>
        <w:lvlText w:val="%6."/>
        <w:lvlJc w:val="right"/>
        <w:pPr>
          <w:ind w:left="3000" w:hanging="180"/>
        </w:pPr>
      </w:lvl>
    </w:lvlOverride>
    <w:lvlOverride w:ilvl="6">
      <w:startOverride w:val="1"/>
      <w:lvl w:ilvl="6" w:tplc="6BFE7CB2">
        <w:start w:val="1"/>
        <w:numFmt w:val="decimal"/>
        <w:lvlText w:val="%7."/>
        <w:lvlJc w:val="right"/>
        <w:pPr>
          <w:ind w:left="3500" w:hanging="180"/>
        </w:pPr>
      </w:lvl>
    </w:lvlOverride>
    <w:lvlOverride w:ilvl="7">
      <w:startOverride w:val="1"/>
      <w:lvl w:ilvl="7" w:tplc="313EA734">
        <w:start w:val="1"/>
        <w:numFmt w:val="decimal"/>
        <w:lvlText w:val="%8."/>
        <w:lvlJc w:val="right"/>
        <w:pPr>
          <w:ind w:left="4000" w:hanging="180"/>
        </w:pPr>
      </w:lvl>
    </w:lvlOverride>
    <w:lvlOverride w:ilvl="8">
      <w:startOverride w:val="1"/>
      <w:lvl w:ilvl="8" w:tplc="0A3E4778">
        <w:start w:val="1"/>
        <w:numFmt w:val="decimal"/>
        <w:lvlText w:val="%9."/>
        <w:lvlJc w:val="right"/>
        <w:pPr>
          <w:ind w:left="4500" w:hanging="180"/>
        </w:pPr>
      </w:lvl>
    </w:lvlOverride>
  </w:num>
  <w:num w:numId="22" w16cid:durableId="939801821">
    <w:abstractNumId w:val="8"/>
    <w:lvlOverride w:ilvl="0">
      <w:startOverride w:val="1"/>
      <w:lvl w:ilvl="0" w:tplc="B5F27616">
        <w:start w:val="1"/>
        <w:numFmt w:val="bullet"/>
        <w:lvlText w:val=""/>
        <w:lvlJc w:val="right"/>
        <w:pPr>
          <w:ind w:left="500" w:hanging="180"/>
        </w:pPr>
        <w:rPr>
          <w:rFonts w:ascii="Symbol" w:hAnsi="Symbol" w:hint="default"/>
        </w:rPr>
      </w:lvl>
    </w:lvlOverride>
    <w:lvlOverride w:ilvl="1">
      <w:startOverride w:val="1"/>
      <w:lvl w:ilvl="1" w:tplc="CA6E5E7C">
        <w:start w:val="1"/>
        <w:numFmt w:val="decimal"/>
        <w:lvlText w:val="%2."/>
        <w:lvlJc w:val="right"/>
        <w:pPr>
          <w:ind w:left="1000" w:hanging="180"/>
        </w:pPr>
      </w:lvl>
    </w:lvlOverride>
    <w:lvlOverride w:ilvl="2">
      <w:startOverride w:val="1"/>
      <w:lvl w:ilvl="2" w:tplc="410A8B10">
        <w:start w:val="1"/>
        <w:numFmt w:val="decimal"/>
        <w:lvlText w:val="%3."/>
        <w:lvlJc w:val="right"/>
        <w:pPr>
          <w:ind w:left="1500" w:hanging="180"/>
        </w:pPr>
      </w:lvl>
    </w:lvlOverride>
    <w:lvlOverride w:ilvl="3">
      <w:startOverride w:val="1"/>
      <w:lvl w:ilvl="3" w:tplc="500C3828">
        <w:start w:val="1"/>
        <w:numFmt w:val="decimal"/>
        <w:lvlText w:val="%4."/>
        <w:lvlJc w:val="right"/>
        <w:pPr>
          <w:ind w:left="2000" w:hanging="180"/>
        </w:pPr>
      </w:lvl>
    </w:lvlOverride>
    <w:lvlOverride w:ilvl="4">
      <w:startOverride w:val="1"/>
      <w:lvl w:ilvl="4" w:tplc="AAFC1BBE">
        <w:start w:val="1"/>
        <w:numFmt w:val="decimal"/>
        <w:lvlText w:val="%5."/>
        <w:lvlJc w:val="right"/>
        <w:pPr>
          <w:ind w:left="2500" w:hanging="180"/>
        </w:pPr>
      </w:lvl>
    </w:lvlOverride>
    <w:lvlOverride w:ilvl="5">
      <w:startOverride w:val="1"/>
      <w:lvl w:ilvl="5" w:tplc="BE20757A">
        <w:start w:val="1"/>
        <w:numFmt w:val="decimal"/>
        <w:lvlText w:val="%6."/>
        <w:lvlJc w:val="right"/>
        <w:pPr>
          <w:ind w:left="3000" w:hanging="180"/>
        </w:pPr>
      </w:lvl>
    </w:lvlOverride>
    <w:lvlOverride w:ilvl="6">
      <w:startOverride w:val="1"/>
      <w:lvl w:ilvl="6" w:tplc="6BFE7CB2">
        <w:start w:val="1"/>
        <w:numFmt w:val="decimal"/>
        <w:lvlText w:val="%7."/>
        <w:lvlJc w:val="right"/>
        <w:pPr>
          <w:ind w:left="3500" w:hanging="180"/>
        </w:pPr>
      </w:lvl>
    </w:lvlOverride>
    <w:lvlOverride w:ilvl="7">
      <w:startOverride w:val="1"/>
      <w:lvl w:ilvl="7" w:tplc="313EA734">
        <w:start w:val="1"/>
        <w:numFmt w:val="decimal"/>
        <w:lvlText w:val="%8."/>
        <w:lvlJc w:val="right"/>
        <w:pPr>
          <w:ind w:left="4000" w:hanging="180"/>
        </w:pPr>
      </w:lvl>
    </w:lvlOverride>
    <w:lvlOverride w:ilvl="8">
      <w:startOverride w:val="1"/>
      <w:lvl w:ilvl="8" w:tplc="0A3E4778">
        <w:start w:val="1"/>
        <w:numFmt w:val="decimal"/>
        <w:lvlText w:val="%9."/>
        <w:lvlJc w:val="right"/>
        <w:pPr>
          <w:ind w:left="4500" w:hanging="180"/>
        </w:pPr>
      </w:lvl>
    </w:lvlOverride>
  </w:num>
  <w:num w:numId="23" w16cid:durableId="1453938353">
    <w:abstractNumId w:val="2"/>
    <w:lvlOverride w:ilvl="0">
      <w:startOverride w:val="1"/>
      <w:lvl w:ilvl="0" w:tplc="908CAECC">
        <w:start w:val="1"/>
        <w:numFmt w:val="bullet"/>
        <w:pStyle w:val="NumberParagraphLevel2"/>
        <w:lvlText w:val=""/>
        <w:lvlJc w:val="right"/>
        <w:pPr>
          <w:ind w:left="500" w:hanging="180"/>
        </w:pPr>
        <w:rPr>
          <w:rFonts w:ascii="Symbol" w:hAnsi="Symbol" w:hint="default"/>
        </w:rPr>
      </w:lvl>
    </w:lvlOverride>
    <w:lvlOverride w:ilvl="1">
      <w:startOverride w:val="1"/>
      <w:lvl w:ilvl="1" w:tplc="7E724030">
        <w:start w:val="1"/>
        <w:numFmt w:val="decimal"/>
        <w:lvlText w:val="%2."/>
        <w:lvlJc w:val="right"/>
        <w:pPr>
          <w:ind w:left="1000" w:hanging="180"/>
        </w:pPr>
      </w:lvl>
    </w:lvlOverride>
    <w:lvlOverride w:ilvl="2">
      <w:startOverride w:val="1"/>
      <w:lvl w:ilvl="2" w:tplc="E6E212BC">
        <w:start w:val="1"/>
        <w:numFmt w:val="decimal"/>
        <w:lvlText w:val="%3."/>
        <w:lvlJc w:val="right"/>
        <w:pPr>
          <w:ind w:left="1500" w:hanging="180"/>
        </w:pPr>
      </w:lvl>
    </w:lvlOverride>
    <w:lvlOverride w:ilvl="3">
      <w:startOverride w:val="1"/>
      <w:lvl w:ilvl="3" w:tplc="FC9C7A02">
        <w:start w:val="1"/>
        <w:numFmt w:val="decimal"/>
        <w:lvlText w:val="%4."/>
        <w:lvlJc w:val="right"/>
        <w:pPr>
          <w:ind w:left="2000" w:hanging="180"/>
        </w:pPr>
      </w:lvl>
    </w:lvlOverride>
    <w:lvlOverride w:ilvl="4">
      <w:startOverride w:val="1"/>
      <w:lvl w:ilvl="4" w:tplc="31AAB182">
        <w:start w:val="1"/>
        <w:numFmt w:val="decimal"/>
        <w:lvlText w:val="%5."/>
        <w:lvlJc w:val="right"/>
        <w:pPr>
          <w:ind w:left="2500" w:hanging="180"/>
        </w:pPr>
      </w:lvl>
    </w:lvlOverride>
    <w:lvlOverride w:ilvl="5">
      <w:startOverride w:val="1"/>
      <w:lvl w:ilvl="5" w:tplc="4560DC62">
        <w:start w:val="1"/>
        <w:numFmt w:val="decimal"/>
        <w:lvlText w:val="%6."/>
        <w:lvlJc w:val="right"/>
        <w:pPr>
          <w:ind w:left="3000" w:hanging="180"/>
        </w:pPr>
      </w:lvl>
    </w:lvlOverride>
    <w:lvlOverride w:ilvl="6">
      <w:startOverride w:val="1"/>
      <w:lvl w:ilvl="6" w:tplc="46E2BA34">
        <w:start w:val="1"/>
        <w:numFmt w:val="decimal"/>
        <w:lvlText w:val="%7."/>
        <w:lvlJc w:val="right"/>
        <w:pPr>
          <w:ind w:left="3500" w:hanging="180"/>
        </w:pPr>
      </w:lvl>
    </w:lvlOverride>
    <w:lvlOverride w:ilvl="7">
      <w:startOverride w:val="1"/>
      <w:lvl w:ilvl="7" w:tplc="EB2ED572">
        <w:start w:val="1"/>
        <w:numFmt w:val="decimal"/>
        <w:lvlText w:val="%8."/>
        <w:lvlJc w:val="right"/>
        <w:pPr>
          <w:ind w:left="4000" w:hanging="180"/>
        </w:pPr>
      </w:lvl>
    </w:lvlOverride>
    <w:lvlOverride w:ilvl="8">
      <w:startOverride w:val="1"/>
      <w:lvl w:ilvl="8" w:tplc="2A6E33DA">
        <w:start w:val="1"/>
        <w:numFmt w:val="decimal"/>
        <w:lvlText w:val="%9."/>
        <w:lvlJc w:val="right"/>
        <w:pPr>
          <w:ind w:left="4500" w:hanging="180"/>
        </w:pPr>
      </w:lvl>
    </w:lvlOverride>
  </w:num>
  <w:num w:numId="24" w16cid:durableId="1821654860">
    <w:abstractNumId w:val="11"/>
    <w:lvlOverride w:ilvl="0">
      <w:startOverride w:val="1"/>
      <w:lvl w:ilvl="0" w:tplc="5024EB08">
        <w:start w:val="1"/>
        <w:numFmt w:val="bullet"/>
        <w:lvlText w:val=""/>
        <w:lvlJc w:val="right"/>
        <w:pPr>
          <w:ind w:left="500" w:hanging="180"/>
        </w:pPr>
        <w:rPr>
          <w:rFonts w:ascii="Symbol" w:hAnsi="Symbol" w:hint="default"/>
        </w:rPr>
      </w:lvl>
    </w:lvlOverride>
    <w:lvlOverride w:ilvl="1">
      <w:startOverride w:val="1"/>
      <w:lvl w:ilvl="1" w:tplc="5810DBD4">
        <w:start w:val="1"/>
        <w:numFmt w:val="decimal"/>
        <w:lvlText w:val="%2."/>
        <w:lvlJc w:val="right"/>
        <w:pPr>
          <w:ind w:left="1000" w:hanging="180"/>
        </w:pPr>
      </w:lvl>
    </w:lvlOverride>
    <w:lvlOverride w:ilvl="2">
      <w:startOverride w:val="1"/>
      <w:lvl w:ilvl="2" w:tplc="0638049C">
        <w:start w:val="1"/>
        <w:numFmt w:val="decimal"/>
        <w:lvlText w:val="%3."/>
        <w:lvlJc w:val="right"/>
        <w:pPr>
          <w:ind w:left="1500" w:hanging="180"/>
        </w:pPr>
      </w:lvl>
    </w:lvlOverride>
    <w:lvlOverride w:ilvl="3">
      <w:startOverride w:val="1"/>
      <w:lvl w:ilvl="3" w:tplc="1A06D1C6">
        <w:start w:val="1"/>
        <w:numFmt w:val="decimal"/>
        <w:lvlText w:val="%4."/>
        <w:lvlJc w:val="right"/>
        <w:pPr>
          <w:ind w:left="2000" w:hanging="180"/>
        </w:pPr>
      </w:lvl>
    </w:lvlOverride>
    <w:lvlOverride w:ilvl="4">
      <w:startOverride w:val="1"/>
      <w:lvl w:ilvl="4" w:tplc="2886F31C">
        <w:start w:val="1"/>
        <w:numFmt w:val="decimal"/>
        <w:lvlText w:val="%5."/>
        <w:lvlJc w:val="right"/>
        <w:pPr>
          <w:ind w:left="2500" w:hanging="180"/>
        </w:pPr>
      </w:lvl>
    </w:lvlOverride>
    <w:lvlOverride w:ilvl="5">
      <w:startOverride w:val="1"/>
      <w:lvl w:ilvl="5" w:tplc="01F8C3A2">
        <w:start w:val="1"/>
        <w:numFmt w:val="decimal"/>
        <w:lvlText w:val="%6."/>
        <w:lvlJc w:val="right"/>
        <w:pPr>
          <w:ind w:left="3000" w:hanging="180"/>
        </w:pPr>
      </w:lvl>
    </w:lvlOverride>
    <w:lvlOverride w:ilvl="6">
      <w:startOverride w:val="1"/>
      <w:lvl w:ilvl="6" w:tplc="9B8A6F40">
        <w:start w:val="1"/>
        <w:numFmt w:val="decimal"/>
        <w:lvlText w:val="%7."/>
        <w:lvlJc w:val="right"/>
        <w:pPr>
          <w:ind w:left="3500" w:hanging="180"/>
        </w:pPr>
      </w:lvl>
    </w:lvlOverride>
    <w:lvlOverride w:ilvl="7">
      <w:startOverride w:val="1"/>
      <w:lvl w:ilvl="7" w:tplc="51408A46">
        <w:start w:val="1"/>
        <w:numFmt w:val="decimal"/>
        <w:lvlText w:val="%8."/>
        <w:lvlJc w:val="right"/>
        <w:pPr>
          <w:ind w:left="4000" w:hanging="180"/>
        </w:pPr>
      </w:lvl>
    </w:lvlOverride>
    <w:lvlOverride w:ilvl="8">
      <w:startOverride w:val="1"/>
      <w:lvl w:ilvl="8" w:tplc="008404DE">
        <w:start w:val="1"/>
        <w:numFmt w:val="decimal"/>
        <w:lvlText w:val="%9."/>
        <w:lvlJc w:val="right"/>
        <w:pPr>
          <w:ind w:left="4500" w:hanging="18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E25"/>
    <w:rsid w:val="000865A7"/>
    <w:rsid w:val="00131F66"/>
    <w:rsid w:val="001354C7"/>
    <w:rsid w:val="001A2E5A"/>
    <w:rsid w:val="00231247"/>
    <w:rsid w:val="00321633"/>
    <w:rsid w:val="00355F25"/>
    <w:rsid w:val="003C6E25"/>
    <w:rsid w:val="007D1DFA"/>
    <w:rsid w:val="008C5EDC"/>
    <w:rsid w:val="009A7049"/>
    <w:rsid w:val="00A8297C"/>
    <w:rsid w:val="00AC34E3"/>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EBDD7"/>
  <w15:chartTrackingRefBased/>
  <w15:docId w15:val="{64E21861-3CC3-4266-AAE2-7AD277BE5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E25"/>
    <w:pPr>
      <w:spacing w:after="200" w:line="276" w:lineRule="auto"/>
      <w:jc w:val="both"/>
    </w:pPr>
    <w:rPr>
      <w:rFonts w:eastAsiaTheme="minorEastAsia"/>
      <w:kern w:val="0"/>
      <w:lang w:val="en-GB" w:eastAsia="en-GB"/>
      <w14:ligatures w14:val="none"/>
    </w:rPr>
  </w:style>
  <w:style w:type="paragraph" w:styleId="Heading1">
    <w:name w:val="heading 1"/>
    <w:basedOn w:val="Normal"/>
    <w:next w:val="Normal"/>
    <w:link w:val="Heading1Char"/>
    <w:uiPriority w:val="9"/>
    <w:qFormat/>
    <w:rsid w:val="003C6E2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C6E2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C6E25"/>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C6E2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C6E25"/>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3C6E2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C6E2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C6E2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C6E2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6E2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C6E2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C6E25"/>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C6E25"/>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3C6E25"/>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3C6E2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C6E2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C6E2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C6E2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C6E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6E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6E2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6E2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C6E25"/>
    <w:pPr>
      <w:spacing w:before="160"/>
      <w:jc w:val="center"/>
    </w:pPr>
    <w:rPr>
      <w:i/>
      <w:iCs/>
      <w:color w:val="404040" w:themeColor="text1" w:themeTint="BF"/>
    </w:rPr>
  </w:style>
  <w:style w:type="character" w:customStyle="1" w:styleId="QuoteChar">
    <w:name w:val="Quote Char"/>
    <w:basedOn w:val="DefaultParagraphFont"/>
    <w:link w:val="Quote"/>
    <w:uiPriority w:val="29"/>
    <w:rsid w:val="003C6E25"/>
    <w:rPr>
      <w:i/>
      <w:iCs/>
      <w:color w:val="404040" w:themeColor="text1" w:themeTint="BF"/>
    </w:rPr>
  </w:style>
  <w:style w:type="paragraph" w:styleId="ListParagraph">
    <w:name w:val="List Paragraph"/>
    <w:basedOn w:val="Normal"/>
    <w:link w:val="ListParagraphChar"/>
    <w:uiPriority w:val="34"/>
    <w:qFormat/>
    <w:rsid w:val="003C6E25"/>
    <w:pPr>
      <w:ind w:left="720"/>
      <w:contextualSpacing/>
    </w:pPr>
  </w:style>
  <w:style w:type="character" w:styleId="IntenseEmphasis">
    <w:name w:val="Intense Emphasis"/>
    <w:basedOn w:val="DefaultParagraphFont"/>
    <w:uiPriority w:val="21"/>
    <w:qFormat/>
    <w:rsid w:val="003C6E25"/>
    <w:rPr>
      <w:i/>
      <w:iCs/>
      <w:color w:val="2F5496" w:themeColor="accent1" w:themeShade="BF"/>
    </w:rPr>
  </w:style>
  <w:style w:type="paragraph" w:styleId="IntenseQuote">
    <w:name w:val="Intense Quote"/>
    <w:basedOn w:val="Normal"/>
    <w:next w:val="Normal"/>
    <w:link w:val="IntenseQuoteChar"/>
    <w:uiPriority w:val="30"/>
    <w:qFormat/>
    <w:rsid w:val="003C6E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C6E25"/>
    <w:rPr>
      <w:i/>
      <w:iCs/>
      <w:color w:val="2F5496" w:themeColor="accent1" w:themeShade="BF"/>
    </w:rPr>
  </w:style>
  <w:style w:type="character" w:styleId="IntenseReference">
    <w:name w:val="Intense Reference"/>
    <w:basedOn w:val="DefaultParagraphFont"/>
    <w:uiPriority w:val="32"/>
    <w:qFormat/>
    <w:rsid w:val="003C6E25"/>
    <w:rPr>
      <w:b/>
      <w:bCs/>
      <w:smallCaps/>
      <w:color w:val="2F5496" w:themeColor="accent1" w:themeShade="BF"/>
      <w:spacing w:val="5"/>
    </w:rPr>
  </w:style>
  <w:style w:type="paragraph" w:customStyle="1" w:styleId="HeadingThree">
    <w:name w:val="HeadingThree"/>
    <w:basedOn w:val="Heading3"/>
    <w:next w:val="Normal"/>
    <w:link w:val="HeadingThreeChar"/>
    <w:qFormat/>
    <w:rsid w:val="003C6E25"/>
    <w:pPr>
      <w:spacing w:before="240" w:after="240"/>
    </w:pPr>
    <w:rPr>
      <w:rFonts w:cs="Times New Roman"/>
      <w:b/>
      <w:bCs/>
    </w:rPr>
  </w:style>
  <w:style w:type="character" w:customStyle="1" w:styleId="HeadingThreeChar">
    <w:name w:val="HeadingThree Char"/>
    <w:basedOn w:val="Heading3Char"/>
    <w:link w:val="HeadingThree"/>
    <w:rsid w:val="003C6E25"/>
    <w:rPr>
      <w:rFonts w:asciiTheme="minorHAnsi" w:eastAsiaTheme="majorEastAsia" w:hAnsiTheme="minorHAnsi" w:cs="Times New Roman"/>
      <w:b/>
      <w:bCs/>
      <w:color w:val="2F5496" w:themeColor="accent1" w:themeShade="BF"/>
      <w:kern w:val="0"/>
      <w:sz w:val="28"/>
      <w:szCs w:val="28"/>
      <w:lang w:val="en-GB" w:eastAsia="en-GB"/>
      <w14:ligatures w14:val="none"/>
    </w:rPr>
  </w:style>
  <w:style w:type="paragraph" w:customStyle="1" w:styleId="BulletParagraph">
    <w:name w:val="BulletParagraph"/>
    <w:basedOn w:val="ListParagraph"/>
    <w:qFormat/>
    <w:rsid w:val="003C6E25"/>
    <w:pPr>
      <w:numPr>
        <w:numId w:val="1"/>
      </w:numPr>
      <w:contextualSpacing w:val="0"/>
    </w:pPr>
  </w:style>
  <w:style w:type="character" w:customStyle="1" w:styleId="ListParagraphChar">
    <w:name w:val="List Paragraph Char"/>
    <w:basedOn w:val="DefaultParagraphFont"/>
    <w:link w:val="ListParagraph"/>
    <w:uiPriority w:val="34"/>
    <w:rsid w:val="003C6E25"/>
  </w:style>
  <w:style w:type="paragraph" w:customStyle="1" w:styleId="NumberParagraphLevel2">
    <w:name w:val="NumberParagraphLevel2"/>
    <w:basedOn w:val="ListParagraph"/>
    <w:qFormat/>
    <w:rsid w:val="003C6E25"/>
    <w:pPr>
      <w:numPr>
        <w:numId w:val="2"/>
      </w:numPr>
      <w:tabs>
        <w:tab w:val="num" w:pos="360"/>
      </w:tabs>
      <w:ind w:left="720" w:firstLine="0"/>
      <w:contextualSpacing w:val="0"/>
    </w:pPr>
  </w:style>
  <w:style w:type="paragraph" w:customStyle="1" w:styleId="CellTextValue">
    <w:name w:val="CellTextValue"/>
    <w:basedOn w:val="Normal"/>
    <w:link w:val="CellTextValueChar"/>
    <w:qFormat/>
    <w:rsid w:val="003C6E25"/>
    <w:pPr>
      <w:spacing w:after="80"/>
    </w:pPr>
    <w:rPr>
      <w:rFonts w:cs="Times New Roman"/>
      <w:szCs w:val="24"/>
    </w:rPr>
  </w:style>
  <w:style w:type="character" w:customStyle="1" w:styleId="CellTextValueChar">
    <w:name w:val="CellTextValue Char"/>
    <w:basedOn w:val="DefaultParagraphFont"/>
    <w:link w:val="CellTextValue"/>
    <w:rsid w:val="003C6E25"/>
    <w:rPr>
      <w:rFonts w:eastAsiaTheme="minorEastAsia" w:cs="Times New Roman"/>
      <w:kern w:val="0"/>
      <w:szCs w:val="24"/>
      <w:lang w:val="en-GB" w:eastAsia="en-GB"/>
      <w14:ligatures w14:val="none"/>
    </w:rPr>
  </w:style>
  <w:style w:type="paragraph" w:customStyle="1" w:styleId="footnote1">
    <w:name w:val="footnote1"/>
    <w:basedOn w:val="Normal"/>
    <w:qFormat/>
    <w:rsid w:val="003C6E25"/>
    <w:pPr>
      <w:spacing w:after="0" w:line="240" w:lineRule="auto"/>
      <w:ind w:left="720" w:hanging="720"/>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research-and-innovation.ec.europa.eu/research-area/industrial-research-and-innovation/key-enabling-technologies/chemicals-and-advanced-materials_en" TargetMode="External"/><Relationship Id="rId13" Type="http://schemas.openxmlformats.org/officeDocument/2006/relationships/hyperlink" Target="https://ec.europa.eu/info/funding-tenders/opportunities/docs/2021-2027/horizon/guidance/ls-decision_he_en.pdf" TargetMode="External"/><Relationship Id="rId3" Type="http://schemas.openxmlformats.org/officeDocument/2006/relationships/hyperlink" Target="https://bepassociation.eu/wp-content/uploads/2021/09/BATT4EU_reportA4_SRIA_V15_September.pdf" TargetMode="External"/><Relationship Id="rId7" Type="http://schemas.openxmlformats.org/officeDocument/2006/relationships/hyperlink" Target="https://research-and-innovation.ec.europa.eu/research-area/industrial-research-and-innovation/key-enabling-technologies/chemicals-and-advanced-materials_en" TargetMode="External"/><Relationship Id="rId12" Type="http://schemas.openxmlformats.org/officeDocument/2006/relationships/hyperlink" Target="https://research-and-innovation.ec.europa.eu/research-area/industrial-research-and-innovation/key-enabling-technologies/chemicals-and-advanced-materials_en" TargetMode="External"/><Relationship Id="rId17" Type="http://schemas.openxmlformats.org/officeDocument/2006/relationships/hyperlink" Target="https://research-and-innovation.ec.europa.eu/research-area/industrial-research-and-innovation/key-enabling-technologies/chemicals-and-advanced-materials_en" TargetMode="External"/><Relationship Id="rId2" Type="http://schemas.openxmlformats.org/officeDocument/2006/relationships/hyperlink" Target="https://ec.europa.eu/info/funding-tenders/opportunities/docs/2021-2027/horizon/guidance/ls-decision_he_en.pdf" TargetMode="External"/><Relationship Id="rId16" Type="http://schemas.openxmlformats.org/officeDocument/2006/relationships/hyperlink" Target="https://research-and-innovation.ec.europa.eu/research-area/industrial-research-and-innovation/key-enabling-technologies/chemicals-and-advanced-materials_en" TargetMode="External"/><Relationship Id="rId1" Type="http://schemas.openxmlformats.org/officeDocument/2006/relationships/hyperlink" Target="https://ec.europa.eu/info/funding-tenders/opportunities/docs/2021-2027/horizon/guidance/ls-decision_he_en.pdf" TargetMode="External"/><Relationship Id="rId6" Type="http://schemas.openxmlformats.org/officeDocument/2006/relationships/hyperlink" Target="https://ec.europa.eu/info/funding-tenders/opportunities/docs/2021-2027/horizon/guidance/ls-decision_he_en.pdf" TargetMode="External"/><Relationship Id="rId11" Type="http://schemas.openxmlformats.org/officeDocument/2006/relationships/hyperlink" Target="https://research-and-innovation.ec.europa.eu/research-area/industrial-research-and-innovation/key-enabling-technologies/chemicals-and-advanced-materials_en" TargetMode="External"/><Relationship Id="rId5" Type="http://schemas.openxmlformats.org/officeDocument/2006/relationships/hyperlink" Target="https://ec.europa.eu/info/funding-tenders/opportunities/docs/2021-2027/horizon/guidance/ls-decision_he_en.pdf" TargetMode="External"/><Relationship Id="rId15" Type="http://schemas.openxmlformats.org/officeDocument/2006/relationships/hyperlink" Target="https://bepassociation.eu/our-work/sria/" TargetMode="External"/><Relationship Id="rId10" Type="http://schemas.openxmlformats.org/officeDocument/2006/relationships/hyperlink" Target="https://research-and-innovation.ec.europa.eu/news/all-research-and-innovation-news/recommendation-safe-and-sustainable-chemicals-published-2022-12-08_en" TargetMode="External"/><Relationship Id="rId4" Type="http://schemas.openxmlformats.org/officeDocument/2006/relationships/hyperlink" Target="https://research-and-innovation.ec.europa.eu/research-area/industrial-research-and-innovation/key-enabling-technologies/chemicals-and-advanced-materials_en" TargetMode="External"/><Relationship Id="rId9" Type="http://schemas.openxmlformats.org/officeDocument/2006/relationships/hyperlink" Target="https://eur-lex.europa.eu/eli/reg/2023/1542/oj" TargetMode="External"/><Relationship Id="rId14" Type="http://schemas.openxmlformats.org/officeDocument/2006/relationships/hyperlink" Target="https://ec.europa.eu/info/funding-tenders/opportunities/docs/2021-2027/horizon/guidance/ls-decision_he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20</Pages>
  <Words>6831</Words>
  <Characters>38938</Characters>
  <Application>Microsoft Office Word</Application>
  <DocSecurity>0</DocSecurity>
  <Lines>324</Lines>
  <Paragraphs>91</Paragraphs>
  <ScaleCrop>false</ScaleCrop>
  <Company/>
  <LinksUpToDate>false</LinksUpToDate>
  <CharactersWithSpaces>45678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Bozorg KHANBAEI</dc:creator>
  <cp:keywords/>
  <dc:description/>
  <cp:lastModifiedBy>Bozorg KHANBAEI</cp:lastModifiedBy>
  <cp:revision>1</cp:revision>
  <dcterms:created xsi:type="dcterms:W3CDTF">2025-09-29T21:12:00Z</dcterms:created>
  <dcterms:modified xsi:type="dcterms:W3CDTF">2025-09-29T21:14:00Z</dcterms:modified>
</cp:coreProperties>
</file>